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772FD302"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10</w:t>
      </w:r>
      <w:proofErr w:type="gramStart"/>
      <w:r w:rsidRPr="002D3C03">
        <w:rPr>
          <w:b/>
          <w:kern w:val="2"/>
          <w:lang w:eastAsia="zh-CN"/>
        </w:rPr>
        <w:tab/>
      </w:r>
      <w:bookmarkStart w:id="1" w:name="_Hlk146752740"/>
      <w:r>
        <w:rPr>
          <w:b/>
          <w:kern w:val="2"/>
          <w:lang w:eastAsia="zh-CN"/>
        </w:rPr>
        <w:t xml:space="preserve">  </w:t>
      </w:r>
      <w:bookmarkEnd w:id="1"/>
      <w:r w:rsidR="00721265" w:rsidRPr="00721265">
        <w:rPr>
          <w:b/>
          <w:kern w:val="2"/>
          <w:lang w:eastAsia="zh-CN"/>
        </w:rPr>
        <w:t>R</w:t>
      </w:r>
      <w:proofErr w:type="gramEnd"/>
      <w:r w:rsidR="00721265" w:rsidRPr="00721265">
        <w:rPr>
          <w:b/>
          <w:kern w:val="2"/>
          <w:lang w:eastAsia="zh-CN"/>
        </w:rPr>
        <w:t>4-2401684</w:t>
      </w:r>
    </w:p>
    <w:p w14:paraId="3B60B732" w14:textId="49CCD14D" w:rsidR="0053046F" w:rsidRPr="00BD6520" w:rsidRDefault="00B9113F" w:rsidP="0053046F">
      <w:pPr>
        <w:rPr>
          <w:b/>
          <w:bCs/>
          <w:vertAlign w:val="superscript"/>
          <w:lang w:eastAsia="zh-CN"/>
        </w:rPr>
      </w:pPr>
      <w:r>
        <w:rPr>
          <w:rFonts w:eastAsia="宋体"/>
          <w:b/>
          <w:bCs/>
          <w:lang w:eastAsia="zh-CN"/>
        </w:rPr>
        <w:t>Athens</w:t>
      </w:r>
      <w:r w:rsidRPr="00F6004D">
        <w:rPr>
          <w:rFonts w:eastAsia="宋体"/>
          <w:b/>
          <w:bCs/>
          <w:lang w:eastAsia="zh-CN"/>
        </w:rPr>
        <w:t xml:space="preserve">, </w:t>
      </w:r>
      <w:r>
        <w:rPr>
          <w:rFonts w:eastAsia="宋体"/>
          <w:b/>
          <w:bCs/>
          <w:lang w:eastAsia="zh-CN"/>
        </w:rPr>
        <w:t>Greece, February</w:t>
      </w:r>
      <w:r w:rsidRPr="00F6004D">
        <w:rPr>
          <w:rFonts w:eastAsia="宋体"/>
          <w:b/>
          <w:bCs/>
          <w:lang w:eastAsia="zh-CN"/>
        </w:rPr>
        <w:t xml:space="preserve"> </w:t>
      </w:r>
      <w:r>
        <w:rPr>
          <w:rFonts w:eastAsia="宋体"/>
          <w:b/>
          <w:bCs/>
          <w:lang w:eastAsia="zh-CN"/>
        </w:rPr>
        <w:t>26 – March 01, 2024</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016A69B0"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217CE9">
        <w:rPr>
          <w:b/>
          <w:kern w:val="2"/>
          <w:lang w:eastAsia="zh-CN"/>
        </w:rPr>
        <w:t>11</w:t>
      </w:r>
      <w:r w:rsidR="0071509B" w:rsidRPr="0071509B">
        <w:rPr>
          <w:b/>
          <w:kern w:val="2"/>
          <w:lang w:eastAsia="zh-CN"/>
        </w:rPr>
        <w:t>.</w:t>
      </w:r>
      <w:r w:rsidR="00D21E91">
        <w:rPr>
          <w:b/>
          <w:kern w:val="2"/>
          <w:lang w:eastAsia="zh-CN"/>
        </w:rPr>
        <w:t>1</w:t>
      </w:r>
      <w:r w:rsidR="00CB7365">
        <w:rPr>
          <w:b/>
          <w:kern w:val="2"/>
          <w:lang w:eastAsia="zh-CN"/>
        </w:rPr>
        <w:t>.</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39650B1"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bookmarkStart w:id="2" w:name="_Hlk142591267"/>
      <w:r w:rsidR="00ED3A1E">
        <w:rPr>
          <w:b/>
          <w:kern w:val="2"/>
          <w:lang w:eastAsia="zh-CN"/>
        </w:rPr>
        <w:t>General Aspects</w:t>
      </w:r>
      <w:r w:rsidR="00905D7B">
        <w:rPr>
          <w:b/>
          <w:kern w:val="2"/>
          <w:lang w:eastAsia="zh-CN"/>
        </w:rPr>
        <w:t xml:space="preserve"> on AI/ML for NR air interface</w:t>
      </w:r>
      <w:bookmarkEnd w:id="2"/>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101814B4" w14:textId="0D4D5DD0" w:rsidR="001C4860" w:rsidRPr="001C4860" w:rsidRDefault="002D46CB" w:rsidP="002D46CB">
      <w:pPr>
        <w:overflowPunct w:val="0"/>
        <w:snapToGrid/>
        <w:textAlignment w:val="baseline"/>
        <w:rPr>
          <w:bCs/>
        </w:rPr>
      </w:pPr>
      <w:r>
        <w:rPr>
          <w:lang w:eastAsia="zh-CN"/>
        </w:rPr>
        <w:t xml:space="preserve">In [1], a new WID is approved, where RAN4 is required to </w:t>
      </w:r>
      <w:r w:rsidR="001C4860">
        <w:rPr>
          <w:lang w:eastAsia="zh-CN"/>
        </w:rPr>
        <w:t xml:space="preserve">finalize </w:t>
      </w:r>
      <w:r w:rsidR="001C4860" w:rsidRPr="001C4860">
        <w:rPr>
          <w:lang w:eastAsia="zh-CN"/>
        </w:rPr>
        <w:t>the testing framework and procedure for one-sided models</w:t>
      </w:r>
      <w:r w:rsidR="001C4860">
        <w:rPr>
          <w:lang w:eastAsia="zh-CN"/>
        </w:rPr>
        <w:t xml:space="preserve"> </w:t>
      </w:r>
      <w:r w:rsidR="001C4860" w:rsidRPr="00FA23A4">
        <w:rPr>
          <w:bCs/>
        </w:rPr>
        <w:t xml:space="preserve">and </w:t>
      </w:r>
      <w:r w:rsidR="001C4860">
        <w:rPr>
          <w:bCs/>
        </w:rPr>
        <w:t>f</w:t>
      </w:r>
      <w:r w:rsidR="001C4860" w:rsidRPr="00FA23A4">
        <w:rPr>
          <w:bCs/>
        </w:rPr>
        <w:t>urther analy</w:t>
      </w:r>
      <w:r w:rsidR="001C4860">
        <w:rPr>
          <w:bCs/>
        </w:rPr>
        <w:t>ze</w:t>
      </w:r>
      <w:r w:rsidR="001C4860" w:rsidRPr="00FA23A4">
        <w:rPr>
          <w:bCs/>
        </w:rPr>
        <w:t xml:space="preserve"> the various testing options for two-sided models</w:t>
      </w:r>
      <w:r>
        <w:rPr>
          <w:lang w:eastAsia="zh-CN"/>
        </w:rPr>
        <w:t xml:space="preserve">. </w:t>
      </w:r>
      <w:r w:rsidR="001C4860">
        <w:rPr>
          <w:lang w:eastAsia="zh-CN"/>
        </w:rPr>
        <w:t xml:space="preserve">Besides, core requirements for AIML-enabled </w:t>
      </w:r>
      <w:r w:rsidR="001C4860">
        <w:rPr>
          <w:bCs/>
        </w:rPr>
        <w:t>b</w:t>
      </w:r>
      <w:r w:rsidR="001C4860" w:rsidRPr="00F03FD6">
        <w:rPr>
          <w:bCs/>
        </w:rPr>
        <w:t>eam management</w:t>
      </w:r>
      <w:r w:rsidR="001C4860">
        <w:rPr>
          <w:bCs/>
        </w:rPr>
        <w:t xml:space="preserve"> and p</w:t>
      </w:r>
      <w:r w:rsidR="001C4860" w:rsidRPr="001C4860">
        <w:rPr>
          <w:bCs/>
        </w:rPr>
        <w:t>ositioning accuracy enhancement</w:t>
      </w:r>
      <w:r w:rsidR="001C4860">
        <w:rPr>
          <w:bCs/>
        </w:rPr>
        <w:t xml:space="preserve"> </w:t>
      </w:r>
      <w:r w:rsidR="00A21E5C">
        <w:rPr>
          <w:bCs/>
        </w:rPr>
        <w:t>are expected to be</w:t>
      </w:r>
      <w:r w:rsidR="001C4860">
        <w:rPr>
          <w:bCs/>
        </w:rPr>
        <w:t xml:space="preserve"> specified in RAN4. </w:t>
      </w:r>
    </w:p>
    <w:p w14:paraId="56C8F4E8" w14:textId="74826A09" w:rsidR="002D46CB" w:rsidRDefault="002D46CB" w:rsidP="002D46CB">
      <w:pPr>
        <w:overflowPunct w:val="0"/>
        <w:snapToGrid/>
        <w:textAlignment w:val="baseline"/>
        <w:rPr>
          <w:lang w:eastAsia="zh-CN"/>
        </w:rPr>
      </w:pPr>
      <w:r>
        <w:rPr>
          <w:lang w:eastAsia="zh-CN"/>
        </w:rPr>
        <w:t xml:space="preserve">According to the TR 38.843 [2], potential </w:t>
      </w:r>
      <w:r w:rsidR="001C4860">
        <w:rPr>
          <w:lang w:eastAsia="zh-CN"/>
        </w:rPr>
        <w:t>procedures related to core requirements are identified</w:t>
      </w:r>
      <w:r w:rsidR="00A21E5C">
        <w:rPr>
          <w:lang w:eastAsia="zh-CN"/>
        </w:rPr>
        <w:t xml:space="preserve">, where </w:t>
      </w:r>
      <w:r w:rsidR="00A21E5C" w:rsidRPr="00A21E5C">
        <w:rPr>
          <w:lang w:eastAsia="zh-CN"/>
        </w:rPr>
        <w:t xml:space="preserve">legacy framework </w:t>
      </w:r>
      <w:r w:rsidR="00A21E5C">
        <w:rPr>
          <w:lang w:eastAsia="zh-CN"/>
        </w:rPr>
        <w:t>based on</w:t>
      </w:r>
      <w:r w:rsidR="00A21E5C" w:rsidRPr="00A21E5C">
        <w:rPr>
          <w:lang w:eastAsia="zh-CN"/>
        </w:rPr>
        <w:t xml:space="preserve"> RRC/MAC-CE/DCI </w:t>
      </w:r>
      <w:r w:rsidR="00A21E5C">
        <w:rPr>
          <w:lang w:eastAsia="zh-CN"/>
        </w:rPr>
        <w:t>is</w:t>
      </w:r>
      <w:r w:rsidR="00A21E5C" w:rsidRPr="00A21E5C">
        <w:rPr>
          <w:lang w:eastAsia="zh-CN"/>
        </w:rPr>
        <w:t xml:space="preserve"> used as the baseline</w:t>
      </w:r>
      <w:r w:rsidR="00A21E5C">
        <w:rPr>
          <w:lang w:eastAsia="zh-CN"/>
        </w:rPr>
        <w:t>.</w:t>
      </w:r>
    </w:p>
    <w:p w14:paraId="7668414B" w14:textId="10916B38" w:rsidR="002D46CB" w:rsidRPr="00D20BAC" w:rsidRDefault="001C4860" w:rsidP="002D46CB">
      <w:pPr>
        <w:overflowPunct w:val="0"/>
        <w:snapToGrid/>
        <w:textAlignment w:val="baseline"/>
        <w:rPr>
          <w:lang w:eastAsia="en-GB"/>
        </w:rPr>
      </w:pPr>
      <w:r>
        <w:rPr>
          <w:lang w:eastAsia="zh-CN"/>
        </w:rPr>
        <w:t xml:space="preserve">The testing options for two-sided models are analyzed in our companion paper [3]. </w:t>
      </w:r>
      <w:r w:rsidR="002D46CB">
        <w:rPr>
          <w:lang w:eastAsia="en-GB"/>
        </w:rPr>
        <w:t>In this contribution,</w:t>
      </w:r>
      <w:r>
        <w:rPr>
          <w:lang w:eastAsia="en-GB"/>
        </w:rPr>
        <w:t xml:space="preserve"> the remaining issues related to general aspects are discussed</w:t>
      </w:r>
      <w:r w:rsidR="002D46CB">
        <w:rPr>
          <w:lang w:eastAsia="en-GB"/>
        </w:rPr>
        <w:t xml:space="preserve">. </w:t>
      </w:r>
    </w:p>
    <w:p w14:paraId="44C22D9E" w14:textId="76206CA1" w:rsidR="00907772" w:rsidRPr="00907772" w:rsidRDefault="00CE2A5D" w:rsidP="00907772">
      <w:r>
        <w:rPr>
          <w:lang w:eastAsia="zh-CN"/>
        </w:rPr>
        <w:pict w14:anchorId="2782EDAE">
          <v:rect id="_x0000_i1025" style="width:465.85pt;height:1pt;mso-position-vertical:absolute" o:hralign="center" o:hrstd="t" o:hrnoshade="t" o:hr="t" fillcolor="black [3213]" stroked="f"/>
        </w:pict>
      </w:r>
    </w:p>
    <w:p w14:paraId="2352297C" w14:textId="11DD24F6" w:rsidR="00C85061" w:rsidRPr="00746649" w:rsidRDefault="00746649" w:rsidP="00D21E91">
      <w:pPr>
        <w:pStyle w:val="Heading1"/>
        <w:numPr>
          <w:ilvl w:val="0"/>
          <w:numId w:val="8"/>
        </w:numPr>
        <w:ind w:left="426"/>
        <w:rPr>
          <w:rFonts w:eastAsia="宋体"/>
          <w:szCs w:val="20"/>
        </w:rPr>
      </w:pPr>
      <w:r>
        <w:rPr>
          <w:rFonts w:eastAsia="宋体"/>
          <w:szCs w:val="20"/>
        </w:rPr>
        <w:t>Core requirements</w:t>
      </w:r>
      <w:r w:rsidR="005506B3" w:rsidRPr="005506B3">
        <w:rPr>
          <w:rFonts w:eastAsia="宋体"/>
          <w:szCs w:val="20"/>
        </w:rPr>
        <w:t xml:space="preserve"> </w:t>
      </w:r>
      <w:r w:rsidR="00C85061" w:rsidRPr="00746649">
        <w:rPr>
          <w:sz w:val="22"/>
          <w:szCs w:val="22"/>
        </w:rPr>
        <w:t xml:space="preserve"> </w:t>
      </w:r>
    </w:p>
    <w:tbl>
      <w:tblPr>
        <w:tblStyle w:val="TableGrid"/>
        <w:tblW w:w="0" w:type="auto"/>
        <w:tblLook w:val="04A0" w:firstRow="1" w:lastRow="0" w:firstColumn="1" w:lastColumn="0" w:noHBand="0" w:noVBand="1"/>
      </w:tblPr>
      <w:tblGrid>
        <w:gridCol w:w="9307"/>
      </w:tblGrid>
      <w:tr w:rsidR="00681EF2" w14:paraId="21962EC7" w14:textId="77777777" w:rsidTr="00746649">
        <w:tc>
          <w:tcPr>
            <w:tcW w:w="9307" w:type="dxa"/>
          </w:tcPr>
          <w:p w14:paraId="7C78A3D5" w14:textId="77777777" w:rsidR="00746649" w:rsidRDefault="00746649" w:rsidP="00746649">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35D50D95" w14:textId="77777777" w:rsidR="00746649" w:rsidRPr="00746649" w:rsidRDefault="00746649" w:rsidP="00746649">
            <w:pPr>
              <w:spacing w:after="0"/>
              <w:rPr>
                <w:sz w:val="16"/>
                <w:szCs w:val="16"/>
                <w:lang w:eastAsia="zh-CN"/>
              </w:rPr>
            </w:pPr>
            <w:r w:rsidRPr="00746649">
              <w:rPr>
                <w:sz w:val="16"/>
                <w:szCs w:val="16"/>
                <w:lang w:eastAsia="zh-CN"/>
              </w:rPr>
              <w:t>The following procedure can be considered for defining core requirements:</w:t>
            </w:r>
          </w:p>
          <w:p w14:paraId="4976DDD4" w14:textId="77777777" w:rsidR="00746649" w:rsidRPr="00746649" w:rsidRDefault="00746649" w:rsidP="00746649">
            <w:pPr>
              <w:pStyle w:val="ListParagraph"/>
              <w:numPr>
                <w:ilvl w:val="0"/>
                <w:numId w:val="14"/>
              </w:numPr>
              <w:rPr>
                <w:rFonts w:ascii="Times New Roman" w:eastAsiaTheme="minorHAnsi" w:hAnsi="Times New Roman" w:cs="Times New Roman"/>
                <w:sz w:val="16"/>
                <w:szCs w:val="16"/>
              </w:rPr>
            </w:pPr>
            <w:r w:rsidRPr="00746649">
              <w:rPr>
                <w:rFonts w:ascii="Times New Roman" w:eastAsiaTheme="minorHAnsi" w:hAnsi="Times New Roman" w:cs="Times New Roman"/>
                <w:sz w:val="16"/>
                <w:szCs w:val="16"/>
              </w:rPr>
              <w:t>Performance monitoring procedure, including performance evaluation and decision-making procedure for AI/ML functionalities/models</w:t>
            </w:r>
          </w:p>
          <w:p w14:paraId="7028D98A" w14:textId="77777777" w:rsidR="00746649" w:rsidRPr="00746649" w:rsidRDefault="00746649" w:rsidP="00746649">
            <w:pPr>
              <w:pStyle w:val="ListParagraph"/>
              <w:numPr>
                <w:ilvl w:val="0"/>
                <w:numId w:val="14"/>
              </w:numPr>
              <w:rPr>
                <w:rFonts w:ascii="Times New Roman" w:eastAsiaTheme="minorHAnsi" w:hAnsi="Times New Roman" w:cs="Times New Roman"/>
                <w:sz w:val="16"/>
                <w:szCs w:val="16"/>
              </w:rPr>
            </w:pPr>
            <w:r w:rsidRPr="00746649">
              <w:rPr>
                <w:rFonts w:ascii="Times New Roman" w:eastAsiaTheme="minorHAnsi" w:hAnsi="Times New Roman" w:cs="Times New Roman"/>
                <w:sz w:val="16"/>
                <w:szCs w:val="16"/>
              </w:rPr>
              <w:t>Functionality/Model management procedure, including functionality/model selection/activation/deactivation, and functionality/model switching/fallback/transfer/delivery/update</w:t>
            </w:r>
          </w:p>
          <w:p w14:paraId="144120DB" w14:textId="750C0609" w:rsidR="00681EF2" w:rsidRPr="00746649" w:rsidRDefault="00746649" w:rsidP="00746649">
            <w:pPr>
              <w:pStyle w:val="ListParagraph"/>
              <w:numPr>
                <w:ilvl w:val="0"/>
                <w:numId w:val="14"/>
              </w:numPr>
              <w:rPr>
                <w:rFonts w:eastAsiaTheme="minorHAnsi"/>
              </w:rPr>
            </w:pPr>
            <w:r w:rsidRPr="00746649">
              <w:rPr>
                <w:rFonts w:ascii="Times New Roman" w:eastAsiaTheme="minorHAnsi" w:hAnsi="Times New Roman" w:cs="Times New Roman"/>
                <w:sz w:val="16"/>
                <w:szCs w:val="16"/>
              </w:rPr>
              <w:t>Latency/interruption requirement for above procedures</w:t>
            </w:r>
          </w:p>
        </w:tc>
      </w:tr>
    </w:tbl>
    <w:p w14:paraId="0A2B67F9" w14:textId="610BAE0F" w:rsidR="00CA7A98" w:rsidRDefault="003A3E39" w:rsidP="003A3E39">
      <w:pPr>
        <w:spacing w:before="240"/>
      </w:pPr>
      <w:r w:rsidRPr="003A3E39">
        <w:t>If</w:t>
      </w:r>
      <w:r>
        <w:t xml:space="preserve"> new measurements related to performance evaluation are specified in other WGs, then the latency requirements related to the new measurements may be needed. </w:t>
      </w:r>
      <w:r w:rsidR="00CA7A98">
        <w:t>How to specify the latency should be discussed case by case.</w:t>
      </w:r>
    </w:p>
    <w:p w14:paraId="4B023301" w14:textId="77777777" w:rsidR="00B45C96" w:rsidRDefault="00B45C96" w:rsidP="00B45C96">
      <w:pPr>
        <w:spacing w:before="240" w:after="0"/>
        <w:ind w:left="43"/>
        <w:rPr>
          <w:b/>
          <w:i/>
        </w:rPr>
      </w:pPr>
      <w:r w:rsidRPr="007109BF">
        <w:rPr>
          <w:b/>
          <w:i/>
          <w:u w:val="single"/>
        </w:rPr>
        <w:t>Proposal 1</w:t>
      </w:r>
      <w:r w:rsidRPr="007109BF">
        <w:rPr>
          <w:b/>
          <w:i/>
        </w:rPr>
        <w:t>:</w:t>
      </w:r>
      <w:r>
        <w:rPr>
          <w:b/>
          <w:i/>
        </w:rPr>
        <w:t xml:space="preserve"> If new measurements related to performance evaluation is specified, study the feasibility, testability and necessity of defining the relevant latency requirement. </w:t>
      </w:r>
    </w:p>
    <w:p w14:paraId="57608534" w14:textId="6B1F23AA" w:rsidR="0072731A" w:rsidRDefault="003A3E39" w:rsidP="003A3E39">
      <w:pPr>
        <w:spacing w:before="240"/>
      </w:pPr>
      <w:r>
        <w:t xml:space="preserve">For decision-making at the UE side, the latency of making decision </w:t>
      </w:r>
      <w:r w:rsidR="00CA7A98">
        <w:t xml:space="preserve">seems </w:t>
      </w:r>
      <w:r>
        <w:t xml:space="preserve">not testable. Since the ground truth </w:t>
      </w:r>
      <w:r w:rsidR="00CA7A98">
        <w:t xml:space="preserve">of the critical </w:t>
      </w:r>
      <w:r w:rsidR="00C74F2F">
        <w:t xml:space="preserve">time point </w:t>
      </w:r>
      <w:r w:rsidR="00CA7A98">
        <w:t>that the decision has to be made</w:t>
      </w:r>
      <w:r w:rsidR="00C74F2F">
        <w:t xml:space="preserve"> is unavailable. From robustness and effectiveness perspective, the decision </w:t>
      </w:r>
      <w:r w:rsidR="0072731A">
        <w:t>is made</w:t>
      </w:r>
      <w:r w:rsidR="00C74F2F">
        <w:t xml:space="preserve"> based on a statistical result, instead of an </w:t>
      </w:r>
      <w:r w:rsidR="00C74F2F" w:rsidRPr="00C74F2F">
        <w:t>instantaneous measurement</w:t>
      </w:r>
      <w:r w:rsidR="00C74F2F">
        <w:t>.</w:t>
      </w:r>
      <w:r w:rsidR="0072731A">
        <w:t xml:space="preserve"> Consequently, the latency of the decision reporting from UE to NW is also not testable. </w:t>
      </w:r>
    </w:p>
    <w:p w14:paraId="6312030C" w14:textId="77E35AD8" w:rsidR="0072731A" w:rsidRDefault="0072731A" w:rsidP="0072731A">
      <w:pPr>
        <w:spacing w:before="240"/>
        <w:ind w:left="40"/>
        <w:rPr>
          <w:b/>
          <w:i/>
          <w:u w:val="single"/>
        </w:rPr>
      </w:pPr>
      <w:r>
        <w:rPr>
          <w:b/>
          <w:i/>
          <w:u w:val="single"/>
        </w:rPr>
        <w:t>Observation 1:</w:t>
      </w:r>
      <w:r w:rsidRPr="0072731A">
        <w:rPr>
          <w:b/>
          <w:i/>
        </w:rPr>
        <w:t xml:space="preserve"> </w:t>
      </w:r>
      <w:r>
        <w:rPr>
          <w:b/>
          <w:i/>
        </w:rPr>
        <w:t>Latency of decision</w:t>
      </w:r>
      <w:r w:rsidR="004708A8">
        <w:rPr>
          <w:b/>
          <w:i/>
        </w:rPr>
        <w:t>-</w:t>
      </w:r>
      <w:r>
        <w:rPr>
          <w:b/>
          <w:i/>
        </w:rPr>
        <w:t>making</w:t>
      </w:r>
      <w:r w:rsidR="00522F6F">
        <w:rPr>
          <w:b/>
          <w:i/>
        </w:rPr>
        <w:t xml:space="preserve"> at UE</w:t>
      </w:r>
      <w:r>
        <w:rPr>
          <w:b/>
          <w:i/>
        </w:rPr>
        <w:t xml:space="preserve"> is not testa</w:t>
      </w:r>
      <w:r w:rsidR="00522F6F">
        <w:rPr>
          <w:b/>
          <w:i/>
        </w:rPr>
        <w:t>b</w:t>
      </w:r>
      <w:r>
        <w:rPr>
          <w:b/>
          <w:i/>
        </w:rPr>
        <w:t>le</w:t>
      </w:r>
      <w:r w:rsidRPr="007109BF">
        <w:rPr>
          <w:b/>
          <w:i/>
        </w:rPr>
        <w:t>.</w:t>
      </w:r>
    </w:p>
    <w:p w14:paraId="64275B60" w14:textId="3C2FD040" w:rsidR="00EC0773" w:rsidRDefault="00EC0773" w:rsidP="00522F6F">
      <w:pPr>
        <w:spacing w:before="240" w:after="0"/>
        <w:ind w:left="43"/>
      </w:pPr>
      <w:r w:rsidRPr="00EC0773">
        <w:t>If</w:t>
      </w:r>
      <w:r>
        <w:t xml:space="preserve"> </w:t>
      </w:r>
      <w:r w:rsidR="00A3244B">
        <w:t>functionality/</w:t>
      </w:r>
      <w:r>
        <w:t xml:space="preserve">model selection is </w:t>
      </w:r>
      <w:r w:rsidR="00DD52B8">
        <w:t>performed by NW, then the</w:t>
      </w:r>
      <w:r w:rsidR="009A3E44">
        <w:t xml:space="preserve"> latency and interruption</w:t>
      </w:r>
      <w:r w:rsidR="00A3244B" w:rsidRPr="00A3244B">
        <w:t xml:space="preserve"> </w:t>
      </w:r>
      <w:r w:rsidR="00A3244B">
        <w:t>may be</w:t>
      </w:r>
      <w:r w:rsidR="009A3E44">
        <w:t xml:space="preserve"> introduced by UE to decode the signaling and </w:t>
      </w:r>
      <w:r w:rsidR="00A3244B">
        <w:t>complete activating</w:t>
      </w:r>
      <w:r w:rsidR="009A3E44">
        <w:t xml:space="preserve"> the </w:t>
      </w:r>
      <w:r w:rsidR="00A3244B">
        <w:t>functionality/</w:t>
      </w:r>
      <w:r w:rsidR="009A3E44">
        <w:t>model</w:t>
      </w:r>
      <w:r w:rsidR="00B752E7">
        <w:t>, which</w:t>
      </w:r>
      <w:r w:rsidR="009A3E44">
        <w:t xml:space="preserve"> is the same as that of </w:t>
      </w:r>
      <w:r w:rsidR="00A3244B">
        <w:t>functionality/</w:t>
      </w:r>
      <w:r w:rsidR="009A3E44">
        <w:t xml:space="preserve">model activation </w:t>
      </w:r>
      <w:r w:rsidR="00A3244B">
        <w:t>as indicated by NW (if any)</w:t>
      </w:r>
      <w:r w:rsidR="009A3E44">
        <w:t>.</w:t>
      </w:r>
    </w:p>
    <w:p w14:paraId="76111DFC" w14:textId="08E2BA33" w:rsidR="00B1322A" w:rsidRPr="00B1322A" w:rsidRDefault="00B1322A" w:rsidP="00B1322A">
      <w:pPr>
        <w:spacing w:before="240"/>
        <w:ind w:left="40"/>
        <w:rPr>
          <w:b/>
          <w:i/>
        </w:rPr>
      </w:pPr>
      <w:r>
        <w:rPr>
          <w:b/>
          <w:i/>
          <w:u w:val="single"/>
        </w:rPr>
        <w:t xml:space="preserve">Observation 2: </w:t>
      </w:r>
      <w:r>
        <w:rPr>
          <w:b/>
          <w:i/>
        </w:rPr>
        <w:t>F</w:t>
      </w:r>
      <w:r w:rsidRPr="004708A8">
        <w:rPr>
          <w:b/>
          <w:i/>
        </w:rPr>
        <w:t xml:space="preserve">unctionality/model </w:t>
      </w:r>
      <w:r>
        <w:rPr>
          <w:b/>
          <w:i/>
        </w:rPr>
        <w:t xml:space="preserve">selection and </w:t>
      </w:r>
      <w:r w:rsidRPr="004708A8">
        <w:rPr>
          <w:b/>
          <w:i/>
        </w:rPr>
        <w:t>activation</w:t>
      </w:r>
      <w:r>
        <w:rPr>
          <w:b/>
          <w:i/>
        </w:rPr>
        <w:t xml:space="preserve"> share similar latency/interruption if any.</w:t>
      </w:r>
    </w:p>
    <w:p w14:paraId="3427471D" w14:textId="3F28B8D5" w:rsidR="009A3E44" w:rsidRDefault="00A3244B" w:rsidP="00522F6F">
      <w:pPr>
        <w:spacing w:before="240" w:after="0"/>
        <w:ind w:left="43"/>
      </w:pPr>
      <w:r>
        <w:t>If functionality/model switching is performed by NW, the latency and interruption may be introduced by UE to decode the signaling, deactivate the current functionality/model, activate the target functionality/model.</w:t>
      </w:r>
    </w:p>
    <w:p w14:paraId="18479607" w14:textId="19D41A2B" w:rsidR="00A3244B" w:rsidRDefault="00A3244B" w:rsidP="00522F6F">
      <w:pPr>
        <w:spacing w:before="240" w:after="0"/>
        <w:ind w:left="43"/>
      </w:pPr>
      <w:r>
        <w:t xml:space="preserve">For </w:t>
      </w:r>
      <w:r w:rsidR="009914BE">
        <w:t xml:space="preserve">fallback, the latency and interruption that may be introduced is similar to that of functionality/model switching, except that the target functionality is the legacy. </w:t>
      </w:r>
    </w:p>
    <w:p w14:paraId="78FC9AD7" w14:textId="023D81E1" w:rsidR="00B1322A" w:rsidRPr="00B1322A" w:rsidRDefault="00B1322A" w:rsidP="00B1322A">
      <w:pPr>
        <w:spacing w:before="240"/>
        <w:ind w:left="40"/>
        <w:rPr>
          <w:b/>
          <w:i/>
        </w:rPr>
      </w:pPr>
      <w:r>
        <w:rPr>
          <w:b/>
          <w:i/>
          <w:u w:val="single"/>
        </w:rPr>
        <w:t xml:space="preserve">Observation 3: </w:t>
      </w:r>
      <w:r>
        <w:rPr>
          <w:b/>
          <w:i/>
        </w:rPr>
        <w:t>F</w:t>
      </w:r>
      <w:r w:rsidRPr="004708A8">
        <w:rPr>
          <w:b/>
          <w:i/>
        </w:rPr>
        <w:t xml:space="preserve">unctionality/model </w:t>
      </w:r>
      <w:r w:rsidR="00B45C96">
        <w:rPr>
          <w:b/>
          <w:i/>
        </w:rPr>
        <w:t>switching</w:t>
      </w:r>
      <w:r>
        <w:rPr>
          <w:b/>
          <w:i/>
        </w:rPr>
        <w:t xml:space="preserve"> and </w:t>
      </w:r>
      <w:r w:rsidR="00B45C96">
        <w:rPr>
          <w:b/>
          <w:i/>
        </w:rPr>
        <w:t>fallback</w:t>
      </w:r>
      <w:r>
        <w:rPr>
          <w:b/>
          <w:i/>
        </w:rPr>
        <w:t xml:space="preserve"> share similar latency/interruption if any.</w:t>
      </w:r>
    </w:p>
    <w:p w14:paraId="79873020" w14:textId="2CC13142" w:rsidR="009914BE" w:rsidRDefault="009914BE" w:rsidP="00522F6F">
      <w:pPr>
        <w:spacing w:before="240" w:after="0"/>
        <w:ind w:left="43"/>
      </w:pPr>
      <w:r>
        <w:t xml:space="preserve">The boundary between fallback and functionality/model deactivation is </w:t>
      </w:r>
      <w:r w:rsidR="00166F8C">
        <w:t>that in the latter, there is no need to</w:t>
      </w:r>
      <w:r>
        <w:t xml:space="preserve"> </w:t>
      </w:r>
      <w:r w:rsidR="00166F8C">
        <w:t xml:space="preserve">perform legacy after the functionality/model is deactivated. </w:t>
      </w:r>
      <w:r w:rsidR="004708A8">
        <w:t>Since the report of functionality/model output is configured by NW, the associated resource for reporting will be invalid after the deactivation signaling</w:t>
      </w:r>
      <w:r w:rsidR="00B752E7">
        <w:t xml:space="preserve"> is sent out</w:t>
      </w:r>
      <w:r w:rsidR="004708A8">
        <w:t xml:space="preserve">. Therefore, there is no need to define </w:t>
      </w:r>
      <w:r w:rsidR="00B752E7">
        <w:t xml:space="preserve">related </w:t>
      </w:r>
      <w:r w:rsidR="004708A8">
        <w:t>latency/interruption requirement.</w:t>
      </w:r>
    </w:p>
    <w:p w14:paraId="6D964E6A" w14:textId="21C25EEF" w:rsidR="00B45C96" w:rsidRPr="009E39DE" w:rsidRDefault="00B45C96" w:rsidP="009E39DE">
      <w:pPr>
        <w:spacing w:before="240"/>
        <w:ind w:left="40"/>
        <w:rPr>
          <w:b/>
          <w:i/>
        </w:rPr>
      </w:pPr>
      <w:r>
        <w:rPr>
          <w:b/>
          <w:i/>
          <w:u w:val="single"/>
        </w:rPr>
        <w:t>Proposal 2</w:t>
      </w:r>
      <w:r w:rsidR="004708A8">
        <w:rPr>
          <w:b/>
          <w:i/>
          <w:u w:val="single"/>
        </w:rPr>
        <w:t>:</w:t>
      </w:r>
      <w:r w:rsidR="004708A8">
        <w:rPr>
          <w:b/>
          <w:i/>
        </w:rPr>
        <w:t xml:space="preserve"> Latency/interruption requirement is not applicable for </w:t>
      </w:r>
      <w:r w:rsidR="004708A8" w:rsidRPr="004708A8">
        <w:rPr>
          <w:b/>
          <w:i/>
        </w:rPr>
        <w:t>functionality/model deactivation</w:t>
      </w:r>
      <w:r w:rsidR="004708A8">
        <w:rPr>
          <w:b/>
          <w:i/>
        </w:rPr>
        <w:t xml:space="preserve">. </w:t>
      </w:r>
    </w:p>
    <w:p w14:paraId="5DF52F5C" w14:textId="68C85520" w:rsidR="009E39DE" w:rsidRPr="009E39DE" w:rsidRDefault="009E39DE" w:rsidP="009E39DE">
      <w:pPr>
        <w:pStyle w:val="Heading1"/>
        <w:numPr>
          <w:ilvl w:val="0"/>
          <w:numId w:val="8"/>
        </w:numPr>
        <w:ind w:left="426"/>
        <w:rPr>
          <w:rFonts w:eastAsia="宋体"/>
          <w:szCs w:val="20"/>
        </w:rPr>
      </w:pPr>
      <w:r w:rsidRPr="009E39DE">
        <w:t>Relation to legacy requirements</w:t>
      </w:r>
    </w:p>
    <w:p w14:paraId="675ACBE9" w14:textId="29091EF4" w:rsidR="00791F95" w:rsidRDefault="00681EF2" w:rsidP="00681EF2">
      <w:pPr>
        <w:spacing w:before="240"/>
      </w:pPr>
      <w:r>
        <w:t>In</w:t>
      </w:r>
      <w:r w:rsidR="009E39DE">
        <w:t xml:space="preserve"> </w:t>
      </w:r>
      <w:r>
        <w:t xml:space="preserve">#106bis-e, RAN4 agreed to take the legacy performance as baseline for exiting </w:t>
      </w:r>
      <w:r w:rsidRPr="00681EF2">
        <w:t>use cases/procedures/functionalities/measurements that are to be enhanced by AI/M</w:t>
      </w:r>
      <w:r w:rsidR="00CF0BC8">
        <w:t>L</w:t>
      </w:r>
      <w:r>
        <w:t xml:space="preserve">. </w:t>
      </w:r>
      <w:r w:rsidR="00AC4F3B">
        <w:t>This means that even though some features may be specified</w:t>
      </w:r>
      <w:r w:rsidR="00F90227">
        <w:t xml:space="preserve"> to be enhanced by AI</w:t>
      </w:r>
      <w:r w:rsidR="00CF0BC8">
        <w:t>/ML</w:t>
      </w:r>
      <w:r w:rsidR="00F90227">
        <w:t xml:space="preserve"> in R19</w:t>
      </w:r>
      <w:r w:rsidR="00AC4F3B">
        <w:t xml:space="preserve">, RAN4 existing </w:t>
      </w:r>
      <w:r w:rsidR="00F90227">
        <w:t xml:space="preserve">performance requirement for this legacy feature should </w:t>
      </w:r>
      <w:r w:rsidR="00CF0BC8">
        <w:t>also</w:t>
      </w:r>
      <w:r w:rsidR="00F90227">
        <w:t xml:space="preserve"> be </w:t>
      </w:r>
      <w:r w:rsidR="00CF0BC8">
        <w:t xml:space="preserve">fulfilled, either by activating enhanced mode by using AI/ML or by using legacy non-AI. </w:t>
      </w:r>
    </w:p>
    <w:p w14:paraId="3A93CA94" w14:textId="77777777" w:rsidR="00DE2E9D" w:rsidRDefault="00791F95" w:rsidP="00681EF2">
      <w:pPr>
        <w:spacing w:before="240"/>
      </w:pPr>
      <w:r>
        <w:t xml:space="preserve">However, it does not mean that we should take legacy performance requirement as baseline requirement when defining </w:t>
      </w:r>
      <w:r w:rsidR="00DE2E9D">
        <w:t xml:space="preserve">requirements for </w:t>
      </w:r>
      <w:r>
        <w:t xml:space="preserve">AI/ML-specific (enhanced) feature.  How to define AI/ML-specific baseline performance requirement should be studied per use case. It is unreasonable to set a testing goal </w:t>
      </w:r>
      <w:r w:rsidR="00DE2E9D">
        <w:t>to force</w:t>
      </w:r>
      <w:r>
        <w:t xml:space="preserve"> all uses cases</w:t>
      </w:r>
      <w:r w:rsidR="00DE2E9D">
        <w:t xml:space="preserve"> </w:t>
      </w:r>
      <w:r>
        <w:t>tak</w:t>
      </w:r>
      <w:r w:rsidR="00DE2E9D">
        <w:t>ing</w:t>
      </w:r>
      <w:r>
        <w:t xml:space="preserve"> legacy performance requirement for existing feature as performance requirement for AI/ML-enabled feature. Since in some cases, legacy test metrics are not valid anymore. </w:t>
      </w:r>
      <w:r w:rsidR="00DE2E9D">
        <w:t>To give an example</w:t>
      </w:r>
      <w:r>
        <w:t>, i</w:t>
      </w:r>
      <w:r w:rsidR="00C85061" w:rsidRPr="004520D0">
        <w:t xml:space="preserve">f the </w:t>
      </w:r>
      <w:r w:rsidR="00C85061">
        <w:t>operations at the opposite</w:t>
      </w:r>
      <w:r w:rsidR="00C85061" w:rsidRPr="004520D0">
        <w:t xml:space="preserve"> side ha</w:t>
      </w:r>
      <w:r w:rsidR="00DE2E9D">
        <w:t>ve</w:t>
      </w:r>
      <w:r w:rsidR="00C85061" w:rsidRPr="004520D0">
        <w:t xml:space="preserve"> an impact on the testing results</w:t>
      </w:r>
      <w:r>
        <w:t xml:space="preserve"> when considering AI/ML-specific tests</w:t>
      </w:r>
      <w:r w:rsidR="00C85061" w:rsidRPr="004520D0">
        <w:t xml:space="preserve">, </w:t>
      </w:r>
      <w:r w:rsidR="00866233">
        <w:t>taking</w:t>
      </w:r>
      <w:r w:rsidR="00C85061" w:rsidRPr="004520D0">
        <w:t xml:space="preserve"> </w:t>
      </w:r>
      <w:r w:rsidR="003E4279">
        <w:t xml:space="preserve">legacy </w:t>
      </w:r>
      <w:r w:rsidR="00C85061">
        <w:t>eventual (</w:t>
      </w:r>
      <w:r w:rsidR="00C85061" w:rsidRPr="004520D0">
        <w:t>end-to-end</w:t>
      </w:r>
      <w:r w:rsidR="00C85061">
        <w:t>)</w:t>
      </w:r>
      <w:r w:rsidR="00C85061" w:rsidRPr="004520D0">
        <w:t xml:space="preserve"> performance requirements</w:t>
      </w:r>
      <w:r w:rsidR="003E4279">
        <w:t xml:space="preserve"> as baseline</w:t>
      </w:r>
      <w:r w:rsidR="00C85061" w:rsidRPr="004520D0">
        <w:t xml:space="preserve"> is </w:t>
      </w:r>
      <w:r w:rsidR="00C85061">
        <w:t>unreasonable.</w:t>
      </w:r>
      <w:r w:rsidR="003E4279">
        <w:t xml:space="preserve"> </w:t>
      </w:r>
      <w:r w:rsidR="00DE2E9D">
        <w:t>Since t</w:t>
      </w:r>
      <w:r w:rsidR="00C85061" w:rsidRPr="004520D0">
        <w:t xml:space="preserve">he eventual </w:t>
      </w:r>
      <w:r w:rsidR="00C85061">
        <w:t>KPI</w:t>
      </w:r>
      <w:r w:rsidR="00C85061" w:rsidRPr="004520D0">
        <w:t xml:space="preserve"> </w:t>
      </w:r>
      <w:r w:rsidR="00DE2E9D">
        <w:t>can</w:t>
      </w:r>
      <w:r w:rsidR="003E4279">
        <w:t xml:space="preserve"> be</w:t>
      </w:r>
      <w:r w:rsidR="00C85061">
        <w:t xml:space="preserve"> influenced</w:t>
      </w:r>
      <w:r w:rsidR="00C85061" w:rsidRPr="004520D0">
        <w:t xml:space="preserve"> by many factors</w:t>
      </w:r>
      <w:r w:rsidR="00C85061">
        <w:t>,</w:t>
      </w:r>
      <w:r w:rsidR="00C85061" w:rsidRPr="004520D0">
        <w:t xml:space="preserve"> </w:t>
      </w:r>
      <w:r w:rsidR="00C85061">
        <w:t>f</w:t>
      </w:r>
      <w:r w:rsidR="00C85061" w:rsidRPr="004520D0">
        <w:t xml:space="preserve">or example, the proper conduction of the paired model located at the opposite side for two-sided model, </w:t>
      </w:r>
      <w:r w:rsidR="00DE2E9D">
        <w:t xml:space="preserve">and </w:t>
      </w:r>
      <w:r w:rsidR="00DE2E9D" w:rsidRPr="004520D0">
        <w:t>the reasonability of model management</w:t>
      </w:r>
      <w:r w:rsidR="00DE2E9D">
        <w:t>/monitoring</w:t>
      </w:r>
      <w:r w:rsidR="00DE2E9D" w:rsidRPr="004520D0">
        <w:t xml:space="preserve"> </w:t>
      </w:r>
      <w:r w:rsidR="00DE2E9D">
        <w:t>by</w:t>
      </w:r>
      <w:r w:rsidR="00DE2E9D" w:rsidRPr="004520D0">
        <w:t xml:space="preserve"> the opposite side, </w:t>
      </w:r>
      <w:r w:rsidR="00C85061" w:rsidRPr="004520D0">
        <w:t>etc.</w:t>
      </w:r>
      <w:r w:rsidR="00C85061">
        <w:t xml:space="preserve"> </w:t>
      </w:r>
      <w:r w:rsidR="00C85061" w:rsidRPr="002C7D2A">
        <w:t xml:space="preserve">In this case, even though there exist legacy </w:t>
      </w:r>
      <w:r w:rsidR="00C85061">
        <w:t xml:space="preserve">requirements for </w:t>
      </w:r>
      <w:r>
        <w:t>legacy</w:t>
      </w:r>
      <w:r w:rsidR="00C85061">
        <w:t xml:space="preserve"> </w:t>
      </w:r>
      <w:r>
        <w:t>feature</w:t>
      </w:r>
      <w:r w:rsidR="00C85061">
        <w:t xml:space="preserve"> </w:t>
      </w:r>
      <w:r w:rsidR="00C85061" w:rsidRPr="002C7D2A">
        <w:t>in RAN4, the legacy</w:t>
      </w:r>
      <w:r>
        <w:t xml:space="preserve"> test metrics </w:t>
      </w:r>
      <w:r w:rsidR="00DE2E9D">
        <w:t>are not applicable</w:t>
      </w:r>
      <w:r w:rsidR="00C85061" w:rsidRPr="002C7D2A">
        <w:t xml:space="preserve">. </w:t>
      </w:r>
    </w:p>
    <w:p w14:paraId="69063D25" w14:textId="393C4043" w:rsidR="00C85061" w:rsidRDefault="00DE2E9D" w:rsidP="00681EF2">
      <w:pPr>
        <w:spacing w:before="240"/>
      </w:pPr>
      <w:r>
        <w:t>To give another example</w:t>
      </w:r>
      <w:r w:rsidR="00C85061">
        <w:t>, in traditional CSI reporting</w:t>
      </w:r>
      <w:r w:rsidR="003E4279">
        <w:t xml:space="preserve"> test</w:t>
      </w:r>
      <w:r w:rsidR="00C85061">
        <w:t xml:space="preserve">, where throughput is legacy test metric and used for requirements definition, the test method ‘follow PMI’ </w:t>
      </w:r>
      <w:r w:rsidR="003E4279">
        <w:t>is employed to</w:t>
      </w:r>
      <w:r w:rsidR="00C85061">
        <w:t xml:space="preserve"> </w:t>
      </w:r>
      <w:r w:rsidR="003E4279">
        <w:t>totally avoid</w:t>
      </w:r>
      <w:r w:rsidR="00C85061">
        <w:t xml:space="preserve"> the effect of </w:t>
      </w:r>
      <w:proofErr w:type="spellStart"/>
      <w:r w:rsidR="00C85061">
        <w:t>gNB</w:t>
      </w:r>
      <w:proofErr w:type="spellEnd"/>
      <w:r w:rsidR="00C85061">
        <w:t xml:space="preserve"> operations (e.g., precoding method at </w:t>
      </w:r>
      <w:proofErr w:type="spellStart"/>
      <w:r w:rsidR="00C85061">
        <w:t>gNB</w:t>
      </w:r>
      <w:proofErr w:type="spellEnd"/>
      <w:r w:rsidR="00C85061">
        <w:t>)</w:t>
      </w:r>
      <w:r>
        <w:t xml:space="preserve"> and relative throughput is the test metric</w:t>
      </w:r>
      <w:r w:rsidR="00C85061">
        <w:t xml:space="preserve">. However, the ‘follow PMI’ method is no longer </w:t>
      </w:r>
      <w:r>
        <w:t>workable</w:t>
      </w:r>
      <w:r w:rsidR="00C85061">
        <w:t xml:space="preserve"> </w:t>
      </w:r>
      <w:r>
        <w:t>when considering</w:t>
      </w:r>
      <w:r w:rsidR="00C85061">
        <w:t xml:space="preserve"> AI/ML CSI feedback</w:t>
      </w:r>
      <w:r>
        <w:t>, since the effect imposed by the test decoder</w:t>
      </w:r>
      <w:r w:rsidR="00694788">
        <w:t xml:space="preserve"> is not eliminated at least based on RAN4 current studying. </w:t>
      </w:r>
      <w:r>
        <w:t xml:space="preserve"> </w:t>
      </w:r>
    </w:p>
    <w:p w14:paraId="00809048" w14:textId="2B9D5504" w:rsidR="00694788" w:rsidRDefault="00694788" w:rsidP="00C85061">
      <w:pPr>
        <w:spacing w:before="240"/>
        <w:ind w:left="40"/>
        <w:rPr>
          <w:b/>
          <w:i/>
          <w:u w:val="single"/>
        </w:rPr>
      </w:pPr>
      <w:r>
        <w:rPr>
          <w:b/>
          <w:i/>
          <w:u w:val="single"/>
        </w:rPr>
        <w:t xml:space="preserve">Observation </w:t>
      </w:r>
      <w:r w:rsidR="009E39DE">
        <w:rPr>
          <w:b/>
          <w:i/>
          <w:u w:val="single"/>
        </w:rPr>
        <w:t>4</w:t>
      </w:r>
      <w:r>
        <w:rPr>
          <w:b/>
          <w:i/>
          <w:u w:val="single"/>
        </w:rPr>
        <w:t xml:space="preserve">: </w:t>
      </w:r>
      <w:r w:rsidRPr="007109BF">
        <w:rPr>
          <w:b/>
          <w:i/>
        </w:rPr>
        <w:t>Legacy requirements for existing use in RAN4 may not be applicable when defin</w:t>
      </w:r>
      <w:r>
        <w:rPr>
          <w:b/>
          <w:i/>
        </w:rPr>
        <w:t>ing</w:t>
      </w:r>
      <w:r w:rsidRPr="007109BF">
        <w:rPr>
          <w:b/>
          <w:i/>
        </w:rPr>
        <w:t xml:space="preserve"> AI/ML performance requirements, if the effect of operations from the opposite side is not eliminated or </w:t>
      </w:r>
      <w:r>
        <w:rPr>
          <w:b/>
          <w:i/>
        </w:rPr>
        <w:t xml:space="preserve">not </w:t>
      </w:r>
      <w:r w:rsidRPr="007109BF">
        <w:rPr>
          <w:b/>
          <w:i/>
        </w:rPr>
        <w:t>well controlled.</w:t>
      </w:r>
    </w:p>
    <w:p w14:paraId="1948D990" w14:textId="6EA6CB68" w:rsidR="00B45C96" w:rsidRPr="00B45C96" w:rsidRDefault="00B45C96" w:rsidP="00B45C96">
      <w:pPr>
        <w:pStyle w:val="Heading1"/>
        <w:numPr>
          <w:ilvl w:val="0"/>
          <w:numId w:val="8"/>
        </w:numPr>
        <w:ind w:left="418" w:hanging="418"/>
        <w:rPr>
          <w:rFonts w:eastAsia="宋体"/>
          <w:szCs w:val="20"/>
        </w:rPr>
      </w:pPr>
      <w:r w:rsidRPr="00B45C96">
        <w:rPr>
          <w:rFonts w:eastAsia="宋体"/>
          <w:szCs w:val="20"/>
        </w:rPr>
        <w:t>Generalization aspects</w:t>
      </w:r>
    </w:p>
    <w:tbl>
      <w:tblPr>
        <w:tblStyle w:val="TableGrid"/>
        <w:tblW w:w="0" w:type="auto"/>
        <w:tblLook w:val="04A0" w:firstRow="1" w:lastRow="0" w:firstColumn="1" w:lastColumn="0" w:noHBand="0" w:noVBand="1"/>
      </w:tblPr>
      <w:tblGrid>
        <w:gridCol w:w="9307"/>
      </w:tblGrid>
      <w:tr w:rsidR="00B45C96" w14:paraId="3F324824" w14:textId="77777777" w:rsidTr="00B45C96">
        <w:tc>
          <w:tcPr>
            <w:tcW w:w="9307" w:type="dxa"/>
          </w:tcPr>
          <w:p w14:paraId="3B1A211D" w14:textId="77777777" w:rsidR="00B45C96" w:rsidRDefault="00B45C96" w:rsidP="00B45C96">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13B3AD44" w14:textId="77777777" w:rsidR="00B45C96" w:rsidRPr="00B45C96" w:rsidRDefault="00B45C96" w:rsidP="00B45C96">
            <w:pPr>
              <w:spacing w:after="0"/>
              <w:rPr>
                <w:sz w:val="16"/>
                <w:szCs w:val="16"/>
                <w:lang w:eastAsia="zh-CN"/>
              </w:rPr>
            </w:pPr>
            <w:r w:rsidRPr="00B45C96">
              <w:rPr>
                <w:sz w:val="16"/>
                <w:szCs w:val="16"/>
                <w:lang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6F0AD095" w14:textId="77777777" w:rsidR="00B45C96" w:rsidRPr="00735AAE" w:rsidRDefault="00B45C96" w:rsidP="00B45C96">
            <w:pPr>
              <w:pStyle w:val="ListParagraph"/>
              <w:numPr>
                <w:ilvl w:val="0"/>
                <w:numId w:val="44"/>
              </w:numPr>
              <w:rPr>
                <w:rFonts w:ascii="Times New Roman" w:eastAsiaTheme="minorHAnsi" w:hAnsi="Times New Roman" w:cs="Times New Roman"/>
                <w:color w:val="FF0000"/>
                <w:sz w:val="16"/>
                <w:szCs w:val="16"/>
              </w:rPr>
            </w:pPr>
            <w:r w:rsidRPr="00735AAE">
              <w:rPr>
                <w:rFonts w:ascii="Times New Roman" w:eastAsiaTheme="minorHAnsi" w:hAnsi="Times New Roman" w:cs="Times New Roman"/>
                <w:color w:val="FF0000"/>
                <w:sz w:val="16"/>
                <w:szCs w:val="16"/>
              </w:rPr>
              <w:t>details about the scenarios and/or configurations for test and the corresponding AI/ML models/functionality</w:t>
            </w:r>
          </w:p>
          <w:p w14:paraId="0CF0DDE4" w14:textId="77777777" w:rsidR="00B45C96" w:rsidRPr="00735AAE" w:rsidRDefault="00B45C96" w:rsidP="00B45C96">
            <w:pPr>
              <w:pStyle w:val="ListParagraph"/>
              <w:numPr>
                <w:ilvl w:val="0"/>
                <w:numId w:val="44"/>
              </w:numPr>
              <w:rPr>
                <w:rFonts w:ascii="Times New Roman" w:eastAsiaTheme="minorHAnsi" w:hAnsi="Times New Roman" w:cs="Times New Roman"/>
                <w:color w:val="FF0000"/>
                <w:sz w:val="16"/>
                <w:szCs w:val="16"/>
              </w:rPr>
            </w:pPr>
            <w:r w:rsidRPr="00735AAE">
              <w:rPr>
                <w:rFonts w:ascii="Times New Roman" w:eastAsiaTheme="minorHAnsi" w:hAnsi="Times New Roman" w:cs="Times New Roman"/>
                <w:color w:val="FF0000"/>
                <w:sz w:val="16"/>
                <w:szCs w:val="16"/>
              </w:rPr>
              <w:t>what the minimum level performance for each identified scenario and/or configuration is</w:t>
            </w:r>
          </w:p>
          <w:p w14:paraId="0F7D2DC0" w14:textId="77777777" w:rsidR="00B45C96" w:rsidRPr="00735AAE" w:rsidRDefault="00B45C96" w:rsidP="00B45C96">
            <w:pPr>
              <w:pStyle w:val="ListParagraph"/>
              <w:numPr>
                <w:ilvl w:val="0"/>
                <w:numId w:val="44"/>
              </w:numPr>
              <w:rPr>
                <w:rFonts w:ascii="Times New Roman" w:eastAsiaTheme="minorHAnsi" w:hAnsi="Times New Roman" w:cs="Times New Roman"/>
                <w:color w:val="FF0000"/>
                <w:sz w:val="16"/>
                <w:szCs w:val="16"/>
              </w:rPr>
            </w:pPr>
            <w:r w:rsidRPr="00735AAE">
              <w:rPr>
                <w:rFonts w:ascii="Times New Roman" w:eastAsiaTheme="minorHAnsi" w:hAnsi="Times New Roman" w:cs="Times New Roman"/>
                <w:color w:val="FF0000"/>
                <w:sz w:val="16"/>
                <w:szCs w:val="16"/>
              </w:rPr>
              <w:t>what the significant degradation for other scenarios and/or configurations is</w:t>
            </w:r>
          </w:p>
          <w:p w14:paraId="753CF93B" w14:textId="49F691B6" w:rsidR="00B45C96" w:rsidRPr="00B45C96" w:rsidRDefault="00B45C96" w:rsidP="00B45C96">
            <w:pPr>
              <w:spacing w:after="0"/>
              <w:rPr>
                <w:lang w:eastAsia="zh-CN"/>
              </w:rPr>
            </w:pPr>
            <w:r w:rsidRPr="00B45C96">
              <w:rPr>
                <w:sz w:val="16"/>
                <w:szCs w:val="16"/>
                <w:lang w:eastAsia="zh-CN"/>
              </w:rPr>
              <w:t>It should also be considered that generalization and/or scalability related requirements for different scenarios/ configurations can be implicitly handled in the test case definition.</w:t>
            </w:r>
          </w:p>
        </w:tc>
      </w:tr>
    </w:tbl>
    <w:p w14:paraId="070662BA" w14:textId="77777777" w:rsidR="00B45C96" w:rsidRDefault="00B45C96" w:rsidP="00B45C96">
      <w:pPr>
        <w:overflowPunct w:val="0"/>
        <w:autoSpaceDE/>
        <w:autoSpaceDN/>
        <w:adjustRightInd/>
        <w:snapToGrid/>
        <w:spacing w:after="180"/>
        <w:ind w:left="420"/>
        <w:jc w:val="left"/>
        <w:textAlignment w:val="baseline"/>
        <w:rPr>
          <w:rFonts w:eastAsia="Yu Mincho"/>
          <w:sz w:val="16"/>
          <w:szCs w:val="20"/>
          <w:lang w:val="en-GB"/>
        </w:rPr>
      </w:pPr>
    </w:p>
    <w:p w14:paraId="1B061E4A" w14:textId="4935E386" w:rsidR="00B45C96" w:rsidRPr="00421572" w:rsidRDefault="00B45C96" w:rsidP="00B45C96">
      <w:pPr>
        <w:numPr>
          <w:ilvl w:val="0"/>
          <w:numId w:val="43"/>
        </w:numPr>
        <w:overflowPunct w:val="0"/>
        <w:autoSpaceDE/>
        <w:autoSpaceDN/>
        <w:adjustRightInd/>
        <w:snapToGrid/>
        <w:spacing w:after="180"/>
        <w:jc w:val="left"/>
        <w:textAlignment w:val="baseline"/>
        <w:rPr>
          <w:rFonts w:eastAsia="Yu Mincho"/>
          <w:b/>
          <w:sz w:val="20"/>
          <w:szCs w:val="20"/>
          <w:lang w:val="en-GB"/>
        </w:rPr>
      </w:pPr>
      <w:r w:rsidRPr="00421572">
        <w:rPr>
          <w:rFonts w:eastAsia="Yu Mincho"/>
          <w:b/>
          <w:sz w:val="20"/>
          <w:szCs w:val="20"/>
          <w:lang w:val="en-GB"/>
        </w:rPr>
        <w:t>Discussion on ‘</w:t>
      </w:r>
      <w:r w:rsidRPr="00B45C96">
        <w:rPr>
          <w:rFonts w:eastAsia="Yu Mincho"/>
          <w:b/>
          <w:sz w:val="20"/>
          <w:szCs w:val="20"/>
          <w:lang w:val="en-GB"/>
        </w:rPr>
        <w:t>details about the scenarios and/or configurations for test and the corresponding AI/ML models/functionality</w:t>
      </w:r>
      <w:r w:rsidRPr="00421572">
        <w:rPr>
          <w:rFonts w:eastAsia="Yu Mincho"/>
          <w:b/>
          <w:sz w:val="20"/>
          <w:szCs w:val="20"/>
          <w:lang w:val="en-GB"/>
        </w:rPr>
        <w:t>’</w:t>
      </w:r>
    </w:p>
    <w:p w14:paraId="54C4B082" w14:textId="40751DDA" w:rsidR="00B45C96" w:rsidRDefault="00B45C96" w:rsidP="00B45C96">
      <w:pPr>
        <w:spacing w:before="120"/>
      </w:pPr>
      <w:r>
        <w:t>How to define the identified scenarios and/or configurations is depending on how to specify an AI/ML functionality/model by other WGs. We notice that there are two kinds of LCM procedures that have been studied according to the newly updated TR 38.843 in [</w:t>
      </w:r>
      <w:r w:rsidR="00735AAE">
        <w:t>2</w:t>
      </w:r>
      <w:r>
        <w:t xml:space="preserve">], one is the model-ID based LCM and another is the functionality-based LCM. However, there is no consensus on whether to support Model ID from other WGs. Even if model-ID may be specified in future release, there is no clue for RAN4 to imagine how the model ID will look like. Therefore, it is suggested to take functionality-based LCM as the starting point for RAN4 discussion. </w:t>
      </w:r>
    </w:p>
    <w:p w14:paraId="18B44AD6" w14:textId="21E79E42" w:rsidR="00B45C96" w:rsidRDefault="00B45C96" w:rsidP="00B45C96">
      <w:pPr>
        <w:spacing w:before="120"/>
        <w:rPr>
          <w:b/>
          <w:i/>
        </w:rPr>
      </w:pPr>
      <w:r w:rsidRPr="00903B47">
        <w:rPr>
          <w:b/>
          <w:i/>
          <w:u w:val="single"/>
        </w:rPr>
        <w:t xml:space="preserve">Proposal </w:t>
      </w:r>
      <w:r w:rsidR="009E39DE">
        <w:rPr>
          <w:b/>
          <w:i/>
          <w:u w:val="single"/>
        </w:rPr>
        <w:t>3</w:t>
      </w:r>
      <w:r w:rsidRPr="00702201">
        <w:rPr>
          <w:b/>
          <w:i/>
        </w:rPr>
        <w:t>:</w:t>
      </w:r>
      <w:r>
        <w:rPr>
          <w:b/>
          <w:i/>
        </w:rPr>
        <w:t xml:space="preserve"> Take </w:t>
      </w:r>
      <w:r w:rsidRPr="00FC1DD9">
        <w:rPr>
          <w:b/>
          <w:i/>
        </w:rPr>
        <w:t>functionality-based LCM as the starting point for RAN4 discussion</w:t>
      </w:r>
      <w:r>
        <w:rPr>
          <w:b/>
          <w:i/>
        </w:rPr>
        <w:t>.</w:t>
      </w:r>
    </w:p>
    <w:p w14:paraId="57A7C4E3" w14:textId="31C6182F" w:rsidR="00B45C96" w:rsidRDefault="00B45C96" w:rsidP="00B45C96">
      <w:pPr>
        <w:spacing w:before="120"/>
      </w:pPr>
      <w:r>
        <w:t xml:space="preserve">For functionality-based LCM, according to TR 38.843 in [2], </w:t>
      </w:r>
      <w:r w:rsidRPr="003016B5">
        <w:rPr>
          <w:i/>
        </w:rPr>
        <w:t>functionality refers to an AI/ML-enabled Feature/FG enabled by configuration(s), where configuration(s) is(are) supported based on conditions indicated by UE capability</w:t>
      </w:r>
      <w:r w:rsidRPr="00FC1DD9">
        <w:t>.</w:t>
      </w:r>
      <w:r>
        <w:t xml:space="preserve"> Therefore, the identified scenarios and/or configurations can be initially interpreted as the scenarios and/or configurations that UE report by capability signaling. However, there is no official definition on </w:t>
      </w:r>
      <w:r w:rsidRPr="003016B5">
        <w:rPr>
          <w:i/>
        </w:rPr>
        <w:t>scenarios</w:t>
      </w:r>
      <w:r>
        <w:t xml:space="preserve">, except one sentence </w:t>
      </w:r>
      <w:r w:rsidR="00735AAE">
        <w:t xml:space="preserve">in [2] </w:t>
      </w:r>
      <w:r>
        <w:t>as follow</w:t>
      </w:r>
      <w:r w:rsidR="00735AAE">
        <w:t>s</w:t>
      </w:r>
      <w:r>
        <w:t>:</w:t>
      </w:r>
    </w:p>
    <w:p w14:paraId="5A392DCD" w14:textId="77777777" w:rsidR="00B45C96" w:rsidRPr="0067501A" w:rsidRDefault="00B45C96" w:rsidP="00B45C96">
      <w:pPr>
        <w:jc w:val="center"/>
        <w:rPr>
          <w:i/>
          <w:iCs/>
        </w:rPr>
      </w:pPr>
      <w:r w:rsidRPr="00995897">
        <w:rPr>
          <w:i/>
          <w:iCs/>
        </w:rPr>
        <w:t>Scenario/configuration specific (incl</w:t>
      </w:r>
      <w:r>
        <w:rPr>
          <w:i/>
          <w:iCs/>
        </w:rPr>
        <w:t>.</w:t>
      </w:r>
      <w:r w:rsidRPr="00995897">
        <w:rPr>
          <w:i/>
          <w:iCs/>
        </w:rPr>
        <w:t xml:space="preserve"> site-specific configuration/channel conditions)</w:t>
      </w:r>
      <w:r>
        <w:rPr>
          <w:i/>
          <w:iCs/>
        </w:rPr>
        <w:t xml:space="preserve"> Models</w:t>
      </w:r>
    </w:p>
    <w:p w14:paraId="5E9EFC8B" w14:textId="0FC54E9B" w:rsidR="00B45C96" w:rsidRPr="007B0648" w:rsidRDefault="00225B58" w:rsidP="00B45C96">
      <w:pPr>
        <w:spacing w:before="120"/>
        <w:rPr>
          <w:b/>
          <w:i/>
        </w:rPr>
      </w:pPr>
      <w:r>
        <w:rPr>
          <w:b/>
          <w:i/>
          <w:u w:val="single"/>
        </w:rPr>
        <w:t>Observation</w:t>
      </w:r>
      <w:r w:rsidR="00B45C96" w:rsidRPr="00903B47">
        <w:rPr>
          <w:b/>
          <w:i/>
          <w:u w:val="single"/>
        </w:rPr>
        <w:t xml:space="preserve"> </w:t>
      </w:r>
      <w:r w:rsidR="009E39DE">
        <w:rPr>
          <w:b/>
          <w:i/>
          <w:u w:val="single"/>
        </w:rPr>
        <w:t>5</w:t>
      </w:r>
      <w:r w:rsidR="00B45C96" w:rsidRPr="00702201">
        <w:rPr>
          <w:b/>
          <w:i/>
        </w:rPr>
        <w:t>:</w:t>
      </w:r>
      <w:r w:rsidR="00B45C96" w:rsidRPr="007B0648">
        <w:t xml:space="preserve"> </w:t>
      </w:r>
      <w:r w:rsidR="00B45C96">
        <w:rPr>
          <w:b/>
          <w:i/>
        </w:rPr>
        <w:t>I</w:t>
      </w:r>
      <w:r w:rsidR="00B45C96" w:rsidRPr="007B0648">
        <w:rPr>
          <w:b/>
          <w:i/>
        </w:rPr>
        <w:t>dentified scenarios and/or configurations can be initially interpreted as the scenarios and/or configurations that UE report</w:t>
      </w:r>
      <w:r w:rsidR="00735AAE">
        <w:rPr>
          <w:b/>
          <w:i/>
        </w:rPr>
        <w:t>s</w:t>
      </w:r>
      <w:r w:rsidR="00B45C96" w:rsidRPr="007B0648">
        <w:rPr>
          <w:b/>
          <w:i/>
        </w:rPr>
        <w:t xml:space="preserve"> by capability signaling</w:t>
      </w:r>
      <w:r w:rsidR="00B45C96">
        <w:rPr>
          <w:b/>
          <w:i/>
        </w:rPr>
        <w:t>.</w:t>
      </w:r>
    </w:p>
    <w:p w14:paraId="144B4FFE" w14:textId="34FB25D4" w:rsidR="00B45C96" w:rsidRDefault="00B45C96" w:rsidP="00B45C96">
      <w:pPr>
        <w:spacing w:before="120"/>
      </w:pPr>
      <w:r>
        <w:t xml:space="preserve">Unfortunately, whether and how to define UE supported site-specific configuration/channel conditions in UE capability is not mentioned in TR. Even though in future release, UE supported site-specific configuration/channel condition reporting via UE capability signaling may be specified, it is totally new for RAN4 to handle a case where a large range of various UE capabilities are involved when considering to define requirements. Since the granularity of the scenario and configuration is quiet not clear. </w:t>
      </w:r>
      <w:r w:rsidR="00735AAE">
        <w:t>F</w:t>
      </w:r>
      <w:r>
        <w:t xml:space="preserve">or example, UE-1 may report that it supports scenario-1 along with configuration-1, whilst UE-2 may report that it supports scenario-2 along with configuration-2, where scenario-1 and scenario-2 are totally different, and configuration-1 and configuration-2 are totally different as well. Therefore, we suggest to discuss how to specify the identified </w:t>
      </w:r>
      <w:r w:rsidRPr="00465495">
        <w:t>scenarios and/or configurations</w:t>
      </w:r>
      <w:r>
        <w:t xml:space="preserve"> per use case, if other WGs can specify the granularity and the capability signaling. </w:t>
      </w:r>
    </w:p>
    <w:p w14:paraId="2848818A" w14:textId="6F0CF0F4" w:rsidR="00B45C96" w:rsidRDefault="00B45C96" w:rsidP="00B45C96">
      <w:pPr>
        <w:spacing w:before="120"/>
        <w:rPr>
          <w:b/>
          <w:i/>
          <w:u w:val="single"/>
        </w:rPr>
      </w:pPr>
      <w:r>
        <w:rPr>
          <w:b/>
          <w:i/>
          <w:u w:val="single"/>
        </w:rPr>
        <w:t xml:space="preserve">Observation </w:t>
      </w:r>
      <w:r w:rsidR="009E39DE">
        <w:rPr>
          <w:b/>
          <w:i/>
          <w:u w:val="single"/>
        </w:rPr>
        <w:t>6</w:t>
      </w:r>
      <w:r w:rsidRPr="0012541D">
        <w:rPr>
          <w:b/>
          <w:i/>
        </w:rPr>
        <w:t xml:space="preserve">: A large range of various UE capabilities may be involved, which is problematic for RAN4 to </w:t>
      </w:r>
      <w:r w:rsidR="00225B58">
        <w:rPr>
          <w:b/>
          <w:i/>
        </w:rPr>
        <w:t xml:space="preserve">identify a typical configuration/scenario for </w:t>
      </w:r>
      <w:r w:rsidRPr="0012541D">
        <w:rPr>
          <w:b/>
          <w:i/>
        </w:rPr>
        <w:t>specify</w:t>
      </w:r>
      <w:r w:rsidR="00225B58">
        <w:rPr>
          <w:b/>
          <w:i/>
        </w:rPr>
        <w:t>ing</w:t>
      </w:r>
      <w:r w:rsidRPr="0012541D">
        <w:rPr>
          <w:b/>
          <w:i/>
        </w:rPr>
        <w:t xml:space="preserve"> the test cases.</w:t>
      </w:r>
    </w:p>
    <w:p w14:paraId="009E62CE" w14:textId="4F9CA186" w:rsidR="00B45C96" w:rsidRPr="00465495" w:rsidRDefault="00B45C96" w:rsidP="00B45C96">
      <w:pPr>
        <w:spacing w:before="120"/>
        <w:rPr>
          <w:b/>
          <w:i/>
          <w:u w:val="single"/>
        </w:rPr>
      </w:pPr>
      <w:r w:rsidRPr="00903B47">
        <w:rPr>
          <w:b/>
          <w:i/>
          <w:u w:val="single"/>
        </w:rPr>
        <w:t xml:space="preserve">Proposal </w:t>
      </w:r>
      <w:r w:rsidR="009E39DE">
        <w:rPr>
          <w:b/>
          <w:i/>
          <w:u w:val="single"/>
        </w:rPr>
        <w:t>4</w:t>
      </w:r>
      <w:r w:rsidRPr="00702201">
        <w:rPr>
          <w:b/>
          <w:i/>
        </w:rPr>
        <w:t>:</w:t>
      </w:r>
      <w:r>
        <w:rPr>
          <w:b/>
          <w:i/>
        </w:rPr>
        <w:t xml:space="preserve"> RAN4 will </w:t>
      </w:r>
      <w:r w:rsidRPr="00465495">
        <w:rPr>
          <w:b/>
          <w:i/>
        </w:rPr>
        <w:t>discuss how to specify the identified scenarios and/or configurations per use case</w:t>
      </w:r>
      <w:r>
        <w:rPr>
          <w:b/>
          <w:i/>
        </w:rPr>
        <w:t xml:space="preserve"> in future release</w:t>
      </w:r>
      <w:r w:rsidRPr="00465495">
        <w:rPr>
          <w:b/>
          <w:i/>
        </w:rPr>
        <w:t>, if other WGs can specify the granularity and the capability signaling.</w:t>
      </w:r>
    </w:p>
    <w:p w14:paraId="574119E1" w14:textId="1F1CE9A7" w:rsidR="00B45C96" w:rsidRDefault="00B45C96" w:rsidP="00B45C96">
      <w:pPr>
        <w:spacing w:before="120" w:after="0"/>
        <w:rPr>
          <w:b/>
          <w:i/>
        </w:rPr>
      </w:pPr>
      <w:r w:rsidRPr="00903B47">
        <w:rPr>
          <w:b/>
          <w:i/>
          <w:u w:val="single"/>
        </w:rPr>
        <w:t xml:space="preserve">Proposal </w:t>
      </w:r>
      <w:r w:rsidR="009E39DE">
        <w:rPr>
          <w:b/>
          <w:i/>
          <w:u w:val="single"/>
        </w:rPr>
        <w:t>5</w:t>
      </w:r>
      <w:r w:rsidRPr="00702201">
        <w:rPr>
          <w:b/>
          <w:i/>
        </w:rPr>
        <w:t>:</w:t>
      </w:r>
      <w:r>
        <w:rPr>
          <w:b/>
          <w:i/>
        </w:rPr>
        <w:t xml:space="preserve"> According to TR </w:t>
      </w:r>
      <w:r w:rsidRPr="00F55516">
        <w:rPr>
          <w:b/>
          <w:i/>
        </w:rPr>
        <w:t>38.843</w:t>
      </w:r>
      <w:r>
        <w:rPr>
          <w:b/>
          <w:i/>
        </w:rPr>
        <w:t xml:space="preserve">, </w:t>
      </w:r>
      <w:r w:rsidRPr="00F55516">
        <w:rPr>
          <w:b/>
          <w:i/>
        </w:rPr>
        <w:t xml:space="preserve">the identified scenarios and/or configurations can initially be interpreted as the scenarios and/or configurations that UE report by capability signaling. </w:t>
      </w:r>
    </w:p>
    <w:p w14:paraId="1DBDB20D" w14:textId="7A12D21F" w:rsidR="00B45C96" w:rsidRDefault="00B45C96" w:rsidP="00B45C96">
      <w:pPr>
        <w:pStyle w:val="ListParagraph"/>
        <w:numPr>
          <w:ilvl w:val="0"/>
          <w:numId w:val="43"/>
        </w:numPr>
        <w:spacing w:before="120" w:after="120"/>
        <w:ind w:left="418" w:hanging="418"/>
        <w:rPr>
          <w:rFonts w:ascii="Times New Roman" w:eastAsia="Yu Mincho" w:hAnsi="Times New Roman" w:cs="Times New Roman"/>
          <w:b/>
          <w:szCs w:val="20"/>
          <w:lang w:val="en-GB" w:eastAsia="en-US"/>
        </w:rPr>
      </w:pPr>
      <w:r w:rsidRPr="00421572">
        <w:rPr>
          <w:rFonts w:ascii="Times New Roman" w:eastAsia="Yu Mincho" w:hAnsi="Times New Roman" w:cs="Times New Roman"/>
          <w:b/>
          <w:szCs w:val="20"/>
          <w:lang w:val="en-GB"/>
        </w:rPr>
        <w:t>Discussion on ‘</w:t>
      </w:r>
      <w:r w:rsidRPr="00421572">
        <w:rPr>
          <w:rFonts w:ascii="Times New Roman" w:eastAsia="Yu Mincho" w:hAnsi="Times New Roman" w:cs="Times New Roman"/>
          <w:b/>
          <w:szCs w:val="20"/>
          <w:lang w:val="en-GB" w:eastAsia="en-US"/>
        </w:rPr>
        <w:t>what the minimum level performance for each identified scenario and/or configuration is</w:t>
      </w:r>
      <w:r>
        <w:rPr>
          <w:rFonts w:ascii="Times New Roman" w:eastAsia="Yu Mincho" w:hAnsi="Times New Roman" w:cs="Times New Roman"/>
          <w:b/>
          <w:szCs w:val="20"/>
          <w:lang w:val="en-GB" w:eastAsia="en-US"/>
        </w:rPr>
        <w:t>’</w:t>
      </w:r>
    </w:p>
    <w:p w14:paraId="11645380" w14:textId="57F79862" w:rsidR="00B45C96" w:rsidRDefault="00B45C96" w:rsidP="00B45C96">
      <w:pPr>
        <w:spacing w:before="120"/>
        <w:rPr>
          <w:rFonts w:eastAsia="Yu Mincho"/>
          <w:szCs w:val="20"/>
          <w:lang w:val="en-GB"/>
        </w:rPr>
      </w:pPr>
      <w:r w:rsidRPr="00421572">
        <w:rPr>
          <w:rFonts w:eastAsia="Yu Mincho"/>
          <w:szCs w:val="20"/>
          <w:lang w:val="en-GB"/>
        </w:rPr>
        <w:t>As discussed</w:t>
      </w:r>
      <w:r>
        <w:rPr>
          <w:rFonts w:eastAsia="Yu Mincho"/>
          <w:szCs w:val="20"/>
          <w:lang w:val="en-GB"/>
        </w:rPr>
        <w:t xml:space="preserve"> </w:t>
      </w:r>
      <w:r w:rsidR="00735AAE">
        <w:rPr>
          <w:rFonts w:eastAsia="Yu Mincho"/>
          <w:szCs w:val="20"/>
          <w:lang w:val="en-GB"/>
        </w:rPr>
        <w:t>above</w:t>
      </w:r>
      <w:r>
        <w:rPr>
          <w:rFonts w:eastAsia="Yu Mincho"/>
          <w:szCs w:val="20"/>
          <w:lang w:val="en-GB"/>
        </w:rPr>
        <w:t>, for an existing feature where RAN4 has requirements defined under some configurations, then even the feature can be enhanced by using AI/ML for a specific DUT, this DUT should also meet legacy minimum performance requirement subject to the existing feature. However, for AI/ML-specific performance requirement, it is not reasonable to take the requirements for legacy feature as the minimum performance requirement for the AI/ML-specific enhanced feature. Since in some cases, the legacy test metric may not be applicable when defining AI/ML-specific test cases.  For example, without having addressed how to eliminate the effects from TE operations (e.g., operations on test decoder) in AI/ML CSI compression, existing ‘relative throughput’ using follow PMI method is not valid and even not testable. To summarize, if legacy test metrics are not valid/testable when defining AI/ML-specific requirements, legacy performance requirements for non-AI cannot be reused. In this regard, it is suggested to study the minimum level performance per use case.</w:t>
      </w:r>
    </w:p>
    <w:p w14:paraId="50E40082" w14:textId="2F9EEEA8" w:rsidR="00B45C96" w:rsidRDefault="00B45C96" w:rsidP="00B45C96">
      <w:pPr>
        <w:spacing w:before="120"/>
        <w:rPr>
          <w:b/>
          <w:i/>
          <w:u w:val="single"/>
        </w:rPr>
      </w:pPr>
      <w:r>
        <w:rPr>
          <w:b/>
          <w:i/>
          <w:u w:val="single"/>
        </w:rPr>
        <w:t xml:space="preserve">Observation </w:t>
      </w:r>
      <w:r w:rsidR="009E39DE">
        <w:rPr>
          <w:b/>
          <w:i/>
          <w:u w:val="single"/>
        </w:rPr>
        <w:t>7</w:t>
      </w:r>
      <w:r>
        <w:rPr>
          <w:b/>
          <w:i/>
          <w:u w:val="single"/>
        </w:rPr>
        <w:t>:</w:t>
      </w:r>
      <w:r w:rsidRPr="0012541D">
        <w:rPr>
          <w:b/>
          <w:i/>
        </w:rPr>
        <w:t xml:space="preserve"> If legacy test metrics are not valid/testable when defining AI/ML-specific requirements, legacy performance requirements for non-AI cannot be reused.</w:t>
      </w:r>
    </w:p>
    <w:p w14:paraId="1AF16D85" w14:textId="656D4AB2" w:rsidR="00B45C96" w:rsidRPr="00B45C96" w:rsidRDefault="00B45C96" w:rsidP="00B45C96">
      <w:pPr>
        <w:spacing w:before="120"/>
        <w:rPr>
          <w:b/>
          <w:i/>
        </w:rPr>
      </w:pPr>
      <w:r w:rsidRPr="00903B47">
        <w:rPr>
          <w:b/>
          <w:i/>
          <w:u w:val="single"/>
        </w:rPr>
        <w:t xml:space="preserve">Proposal </w:t>
      </w:r>
      <w:r w:rsidR="009E39DE">
        <w:rPr>
          <w:b/>
          <w:i/>
          <w:u w:val="single"/>
        </w:rPr>
        <w:t>6</w:t>
      </w:r>
      <w:r w:rsidRPr="0012541D">
        <w:rPr>
          <w:b/>
          <w:i/>
          <w:u w:val="single"/>
        </w:rPr>
        <w:t>:</w:t>
      </w:r>
      <w:r w:rsidRPr="0012541D">
        <w:rPr>
          <w:b/>
          <w:i/>
        </w:rPr>
        <w:t xml:space="preserve"> RAN4</w:t>
      </w:r>
      <w:r w:rsidRPr="0012541D">
        <w:rPr>
          <w:b/>
          <w:i/>
        </w:rPr>
        <w:tab/>
        <w:t xml:space="preserve"> will study the minimum level performance, per use case, for identified scenarios and/or configurations (if specified). </w:t>
      </w:r>
    </w:p>
    <w:p w14:paraId="3B035192" w14:textId="67444C4C" w:rsidR="00B45C96" w:rsidRDefault="00B45C96" w:rsidP="00B45C96">
      <w:pPr>
        <w:numPr>
          <w:ilvl w:val="0"/>
          <w:numId w:val="43"/>
        </w:numPr>
        <w:overflowPunct w:val="0"/>
        <w:autoSpaceDE/>
        <w:autoSpaceDN/>
        <w:adjustRightInd/>
        <w:snapToGrid/>
        <w:spacing w:after="180"/>
        <w:jc w:val="left"/>
        <w:textAlignment w:val="baseline"/>
        <w:rPr>
          <w:rFonts w:eastAsia="Yu Mincho"/>
          <w:b/>
          <w:sz w:val="20"/>
          <w:szCs w:val="20"/>
          <w:lang w:val="en-GB"/>
        </w:rPr>
      </w:pPr>
      <w:r w:rsidRPr="00421572">
        <w:rPr>
          <w:rFonts w:eastAsia="Yu Mincho"/>
          <w:b/>
          <w:szCs w:val="20"/>
          <w:lang w:val="en-GB"/>
        </w:rPr>
        <w:t xml:space="preserve">Discussion on </w:t>
      </w:r>
      <w:r>
        <w:rPr>
          <w:rFonts w:eastAsia="Yu Mincho"/>
          <w:b/>
          <w:szCs w:val="20"/>
          <w:lang w:val="en-GB"/>
        </w:rPr>
        <w:t>‘</w:t>
      </w:r>
      <w:r w:rsidRPr="0041280C">
        <w:rPr>
          <w:rFonts w:eastAsia="Yu Mincho"/>
          <w:b/>
          <w:sz w:val="20"/>
          <w:szCs w:val="20"/>
          <w:lang w:val="en-GB"/>
        </w:rPr>
        <w:t>what the significant degradation for other scenarios and/or configurations is</w:t>
      </w:r>
      <w:r>
        <w:rPr>
          <w:rFonts w:eastAsia="Yu Mincho"/>
          <w:b/>
          <w:sz w:val="20"/>
          <w:szCs w:val="20"/>
          <w:lang w:val="en-GB"/>
        </w:rPr>
        <w:t>’</w:t>
      </w:r>
    </w:p>
    <w:p w14:paraId="095D281B" w14:textId="26BC14AA" w:rsidR="00B45C96" w:rsidRDefault="00B45C96" w:rsidP="00B45C96">
      <w:pPr>
        <w:overflowPunct w:val="0"/>
        <w:autoSpaceDE/>
        <w:autoSpaceDN/>
        <w:adjustRightInd/>
        <w:snapToGrid/>
        <w:spacing w:after="180"/>
        <w:jc w:val="left"/>
        <w:textAlignment w:val="baseline"/>
        <w:rPr>
          <w:rFonts w:eastAsia="Yu Mincho"/>
          <w:szCs w:val="20"/>
          <w:lang w:val="en-GB"/>
        </w:rPr>
      </w:pPr>
      <w:r w:rsidRPr="0041280C">
        <w:rPr>
          <w:rFonts w:eastAsia="Yu Mincho"/>
          <w:szCs w:val="20"/>
          <w:lang w:val="en-GB"/>
        </w:rPr>
        <w:t xml:space="preserve">According to above discussion, the </w:t>
      </w:r>
      <w:r>
        <w:rPr>
          <w:rFonts w:eastAsia="Yu Mincho"/>
          <w:szCs w:val="20"/>
          <w:lang w:val="en-GB"/>
        </w:rPr>
        <w:t>other scenarios and/or configurations are interpreted as the scenarios and/or configurations that are not reported by UE capability for an AI/ML-specific (enhanced) feature. This also means</w:t>
      </w:r>
      <w:r w:rsidR="00735AAE">
        <w:rPr>
          <w:rFonts w:eastAsia="Yu Mincho"/>
          <w:szCs w:val="20"/>
          <w:lang w:val="en-GB"/>
        </w:rPr>
        <w:t xml:space="preserve"> that</w:t>
      </w:r>
      <w:r>
        <w:rPr>
          <w:rFonts w:eastAsia="Yu Mincho"/>
          <w:szCs w:val="20"/>
          <w:lang w:val="en-GB"/>
        </w:rPr>
        <w:t xml:space="preserve"> there is no need to introduce AI/ML-related requirements in the other scenarios and/or configurations. However, for a DUT which supports an AI/ML-specific enhanced feature on top of an existing feature, the performance of existing feature under other scenarios and/or configurations can be ensured by RAN4 legacy test. </w:t>
      </w:r>
    </w:p>
    <w:p w14:paraId="55D85405" w14:textId="60355E7F" w:rsidR="00B45C96" w:rsidRDefault="00B45C96" w:rsidP="00B45C96">
      <w:pPr>
        <w:spacing w:before="120"/>
        <w:rPr>
          <w:b/>
          <w:i/>
        </w:rPr>
      </w:pPr>
      <w:r w:rsidRPr="00903B47">
        <w:rPr>
          <w:b/>
          <w:i/>
          <w:u w:val="single"/>
        </w:rPr>
        <w:t xml:space="preserve">Proposal </w:t>
      </w:r>
      <w:r w:rsidR="009E39DE">
        <w:rPr>
          <w:b/>
          <w:i/>
          <w:u w:val="single"/>
        </w:rPr>
        <w:t>7</w:t>
      </w:r>
      <w:r w:rsidRPr="00702201">
        <w:rPr>
          <w:b/>
          <w:i/>
        </w:rPr>
        <w:t>:</w:t>
      </w:r>
      <w:r>
        <w:rPr>
          <w:b/>
          <w:i/>
        </w:rPr>
        <w:t xml:space="preserve"> Other </w:t>
      </w:r>
      <w:r w:rsidRPr="007B0648">
        <w:rPr>
          <w:b/>
          <w:i/>
        </w:rPr>
        <w:t>scenarios and/or configurations are interpreted as the scenarios and/or configurations that are not reported by UE capability for an AI/ML-specific (enhanced) feature</w:t>
      </w:r>
      <w:r>
        <w:rPr>
          <w:b/>
          <w:i/>
        </w:rPr>
        <w:t>.</w:t>
      </w:r>
    </w:p>
    <w:p w14:paraId="671C3734" w14:textId="4750E743" w:rsidR="00B45C96" w:rsidRDefault="00B45C96" w:rsidP="00B45C96">
      <w:pPr>
        <w:overflowPunct w:val="0"/>
        <w:autoSpaceDE/>
        <w:autoSpaceDN/>
        <w:adjustRightInd/>
        <w:snapToGrid/>
        <w:spacing w:after="180"/>
        <w:jc w:val="left"/>
        <w:textAlignment w:val="baseline"/>
        <w:rPr>
          <w:b/>
          <w:i/>
          <w:u w:val="single"/>
        </w:rPr>
      </w:pPr>
      <w:r>
        <w:rPr>
          <w:b/>
          <w:i/>
          <w:u w:val="single"/>
        </w:rPr>
        <w:t xml:space="preserve">Observation </w:t>
      </w:r>
      <w:r w:rsidR="009E39DE">
        <w:rPr>
          <w:b/>
          <w:i/>
          <w:u w:val="single"/>
        </w:rPr>
        <w:t>8</w:t>
      </w:r>
      <w:r>
        <w:rPr>
          <w:b/>
          <w:i/>
          <w:u w:val="single"/>
        </w:rPr>
        <w:t>:</w:t>
      </w:r>
      <w:r w:rsidRPr="0012541D">
        <w:rPr>
          <w:b/>
          <w:i/>
        </w:rPr>
        <w:t xml:space="preserve"> There is no need to introduce AI/ML-related requirements in the other scenarios and/or configurations.</w:t>
      </w:r>
    </w:p>
    <w:p w14:paraId="407EBB9A" w14:textId="6BBCD8D4" w:rsidR="00B45C96" w:rsidRDefault="00B45C96" w:rsidP="00B45C96">
      <w:pPr>
        <w:overflowPunct w:val="0"/>
        <w:autoSpaceDE/>
        <w:autoSpaceDN/>
        <w:adjustRightInd/>
        <w:snapToGrid/>
        <w:spacing w:after="180"/>
        <w:jc w:val="left"/>
        <w:textAlignment w:val="baseline"/>
        <w:rPr>
          <w:b/>
          <w:i/>
          <w:u w:val="single"/>
        </w:rPr>
      </w:pPr>
      <w:r w:rsidRPr="00903B47">
        <w:rPr>
          <w:b/>
          <w:i/>
          <w:u w:val="single"/>
        </w:rPr>
        <w:t>Pro</w:t>
      </w:r>
      <w:r w:rsidRPr="007B0648">
        <w:rPr>
          <w:b/>
          <w:i/>
          <w:u w:val="single"/>
        </w:rPr>
        <w:t xml:space="preserve">posal </w:t>
      </w:r>
      <w:r w:rsidR="009E39DE">
        <w:rPr>
          <w:b/>
          <w:i/>
          <w:u w:val="single"/>
        </w:rPr>
        <w:t>8</w:t>
      </w:r>
      <w:r w:rsidRPr="007B0648">
        <w:rPr>
          <w:b/>
          <w:i/>
          <w:u w:val="single"/>
        </w:rPr>
        <w:t>:</w:t>
      </w:r>
      <w:r w:rsidRPr="0012541D">
        <w:rPr>
          <w:b/>
          <w:i/>
        </w:rPr>
        <w:t xml:space="preserve"> Performance for other scenarios and/or configurations can be ensured by RAN4 legacy test.</w:t>
      </w:r>
      <w:r>
        <w:rPr>
          <w:b/>
          <w:i/>
          <w:u w:val="single"/>
        </w:rPr>
        <w:t xml:space="preserve"> </w:t>
      </w:r>
    </w:p>
    <w:tbl>
      <w:tblPr>
        <w:tblStyle w:val="TableGrid"/>
        <w:tblW w:w="0" w:type="auto"/>
        <w:tblLook w:val="04A0" w:firstRow="1" w:lastRow="0" w:firstColumn="1" w:lastColumn="0" w:noHBand="0" w:noVBand="1"/>
      </w:tblPr>
      <w:tblGrid>
        <w:gridCol w:w="9307"/>
      </w:tblGrid>
      <w:tr w:rsidR="00B45C96" w14:paraId="3446CAF7" w14:textId="77777777" w:rsidTr="00B45C96">
        <w:tc>
          <w:tcPr>
            <w:tcW w:w="9307" w:type="dxa"/>
            <w:shd w:val="clear" w:color="auto" w:fill="auto"/>
          </w:tcPr>
          <w:p w14:paraId="70018AE3" w14:textId="18BEE503" w:rsidR="00B45C96" w:rsidRDefault="00B45C96" w:rsidP="00B45C96">
            <w:pPr>
              <w:spacing w:after="0"/>
              <w:rPr>
                <w:rFonts w:eastAsia="Yu Mincho"/>
                <w:sz w:val="18"/>
                <w:szCs w:val="20"/>
                <w:lang w:eastAsia="ja-JP"/>
              </w:rPr>
            </w:pPr>
            <w:r w:rsidRPr="00B45C96">
              <w:rPr>
                <w:rFonts w:eastAsia="Yu Mincho"/>
                <w:sz w:val="18"/>
                <w:szCs w:val="20"/>
                <w:lang w:eastAsia="ja-JP"/>
              </w:rPr>
              <w:t>TR 38.843 [2]:</w:t>
            </w:r>
          </w:p>
          <w:p w14:paraId="704AB1AB" w14:textId="79348C91" w:rsidR="00B45C96" w:rsidRPr="00B45C96" w:rsidRDefault="00B45C96" w:rsidP="00B45C96">
            <w:pPr>
              <w:spacing w:after="0"/>
              <w:rPr>
                <w:rFonts w:eastAsia="PMingLiU"/>
                <w:sz w:val="16"/>
                <w:szCs w:val="16"/>
                <w:lang w:eastAsia="zh-TW"/>
              </w:rPr>
            </w:pPr>
            <w:proofErr w:type="spellStart"/>
            <w:r w:rsidRPr="00B45C96">
              <w:rPr>
                <w:rFonts w:eastAsia="PMingLiU"/>
                <w:sz w:val="16"/>
                <w:szCs w:val="16"/>
                <w:lang w:eastAsia="zh-TW"/>
              </w:rPr>
              <w:t>Signalling</w:t>
            </w:r>
            <w:proofErr w:type="spellEnd"/>
            <w:r w:rsidRPr="00B45C96">
              <w:rPr>
                <w:rFonts w:eastAsia="PMingLiU"/>
                <w:sz w:val="16"/>
                <w:szCs w:val="16"/>
                <w:lang w:eastAsia="zh-TW"/>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50966252" w14:textId="17497C5C" w:rsidR="00B45C96" w:rsidRPr="00B45C96" w:rsidRDefault="00B45C96" w:rsidP="00B45C96">
            <w:pPr>
              <w:pStyle w:val="ListParagraph"/>
              <w:numPr>
                <w:ilvl w:val="0"/>
                <w:numId w:val="47"/>
              </w:numPr>
              <w:spacing w:line="259" w:lineRule="auto"/>
              <w:rPr>
                <w:rFonts w:eastAsia="PMingLiU"/>
                <w:lang w:eastAsia="zh-TW"/>
              </w:rPr>
            </w:pPr>
            <w:r w:rsidRPr="00B45C96">
              <w:rPr>
                <w:rFonts w:ascii="Times New Roman" w:eastAsia="PMingLiU" w:hAnsi="Times New Roman" w:cs="Times New Roman"/>
                <w:sz w:val="16"/>
                <w:szCs w:val="16"/>
                <w:lang w:eastAsia="zh-TW"/>
              </w:rPr>
              <w:t>Specified UE configuration includes functionality and/or model ID if defined</w:t>
            </w:r>
            <w:r w:rsidRPr="00B45C96">
              <w:rPr>
                <w:rFonts w:ascii="Times New Roman" w:eastAsia="Yu Mincho" w:hAnsi="Times New Roman" w:cs="Times New Roman"/>
                <w:sz w:val="16"/>
                <w:szCs w:val="16"/>
                <w:lang w:val="en-GB"/>
              </w:rPr>
              <w:t xml:space="preserve"> </w:t>
            </w:r>
          </w:p>
        </w:tc>
      </w:tr>
    </w:tbl>
    <w:p w14:paraId="1AE54425" w14:textId="77777777" w:rsidR="00B45C96" w:rsidRDefault="00B45C96" w:rsidP="00B45C96">
      <w:pPr>
        <w:overflowPunct w:val="0"/>
        <w:autoSpaceDE/>
        <w:autoSpaceDN/>
        <w:adjustRightInd/>
        <w:snapToGrid/>
        <w:spacing w:before="120" w:after="180"/>
        <w:textAlignment w:val="baseline"/>
        <w:rPr>
          <w:rFonts w:eastAsia="Yu Mincho"/>
          <w:sz w:val="20"/>
          <w:szCs w:val="20"/>
        </w:rPr>
      </w:pPr>
      <w:r>
        <w:rPr>
          <w:rFonts w:eastAsia="Yu Mincho"/>
          <w:sz w:val="20"/>
          <w:szCs w:val="20"/>
        </w:rPr>
        <w:t>For verifying generalization, it is widely known that legacy RAN4 test has already supported generalization verification. For example, in PMI reporting, several performance requirements are defined under different configurations. Since the legacy is fancy enough, it is straightforward to reuse it. Not to mention there is no benefit identified by introducing channel condition changes during test.</w:t>
      </w:r>
    </w:p>
    <w:p w14:paraId="6873EDD2" w14:textId="45F35187" w:rsidR="00B45C96" w:rsidRPr="0012541D" w:rsidRDefault="00B45C96" w:rsidP="00B45C96">
      <w:pPr>
        <w:overflowPunct w:val="0"/>
        <w:autoSpaceDE/>
        <w:autoSpaceDN/>
        <w:adjustRightInd/>
        <w:snapToGrid/>
        <w:spacing w:after="180"/>
        <w:jc w:val="left"/>
        <w:textAlignment w:val="baseline"/>
        <w:rPr>
          <w:b/>
          <w:i/>
        </w:rPr>
      </w:pPr>
      <w:r>
        <w:rPr>
          <w:b/>
          <w:i/>
          <w:u w:val="single"/>
        </w:rPr>
        <w:t xml:space="preserve">Observation </w:t>
      </w:r>
      <w:r w:rsidR="009E39DE">
        <w:rPr>
          <w:b/>
          <w:i/>
          <w:u w:val="single"/>
        </w:rPr>
        <w:t>9</w:t>
      </w:r>
      <w:r>
        <w:rPr>
          <w:b/>
          <w:i/>
          <w:u w:val="single"/>
        </w:rPr>
        <w:t>:</w:t>
      </w:r>
      <w:r w:rsidRPr="0012541D">
        <w:rPr>
          <w:b/>
          <w:i/>
        </w:rPr>
        <w:t xml:space="preserve"> There is no benefit identified by introducing channel condition changes during test.</w:t>
      </w:r>
    </w:p>
    <w:p w14:paraId="42777BD6" w14:textId="5D616881" w:rsidR="00B45C96" w:rsidRPr="0012541D" w:rsidRDefault="00B45C96" w:rsidP="00B45C96">
      <w:pPr>
        <w:overflowPunct w:val="0"/>
        <w:autoSpaceDE/>
        <w:autoSpaceDN/>
        <w:adjustRightInd/>
        <w:snapToGrid/>
        <w:spacing w:after="180"/>
        <w:jc w:val="left"/>
        <w:textAlignment w:val="baseline"/>
        <w:rPr>
          <w:b/>
          <w:i/>
        </w:rPr>
      </w:pPr>
      <w:r w:rsidRPr="00903B47">
        <w:rPr>
          <w:b/>
          <w:i/>
          <w:u w:val="single"/>
        </w:rPr>
        <w:t>Pro</w:t>
      </w:r>
      <w:r w:rsidRPr="007B0648">
        <w:rPr>
          <w:b/>
          <w:i/>
          <w:u w:val="single"/>
        </w:rPr>
        <w:t xml:space="preserve">posal </w:t>
      </w:r>
      <w:r w:rsidR="009E39DE">
        <w:rPr>
          <w:b/>
          <w:i/>
          <w:u w:val="single"/>
        </w:rPr>
        <w:t>9</w:t>
      </w:r>
      <w:r w:rsidRPr="007B0648">
        <w:rPr>
          <w:b/>
          <w:i/>
          <w:u w:val="single"/>
        </w:rPr>
        <w:t>:</w:t>
      </w:r>
      <w:r w:rsidRPr="0012541D">
        <w:rPr>
          <w:b/>
          <w:i/>
        </w:rPr>
        <w:t xml:space="preserve"> </w:t>
      </w:r>
      <w:r>
        <w:rPr>
          <w:b/>
          <w:i/>
        </w:rPr>
        <w:t xml:space="preserve">Non-static </w:t>
      </w:r>
      <w:r w:rsidRPr="00B45C96">
        <w:rPr>
          <w:b/>
          <w:i/>
        </w:rPr>
        <w:t>scenarios/conditions and propagation conditions</w:t>
      </w:r>
      <w:r w:rsidRPr="0012541D">
        <w:rPr>
          <w:b/>
          <w:i/>
        </w:rPr>
        <w:t xml:space="preserve"> </w:t>
      </w:r>
      <w:r>
        <w:rPr>
          <w:b/>
          <w:i/>
        </w:rPr>
        <w:t>are precluded for defining RAN4 test</w:t>
      </w:r>
      <w:r w:rsidRPr="0012541D">
        <w:rPr>
          <w:b/>
          <w:i/>
        </w:rPr>
        <w:t xml:space="preserve">. </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7B9DD737" w14:textId="77777777" w:rsidR="00735AAE" w:rsidRPr="00C22252" w:rsidRDefault="00735AAE" w:rsidP="00735AAE">
      <w:pPr>
        <w:spacing w:before="240" w:after="0"/>
        <w:ind w:left="43"/>
      </w:pPr>
      <w:r w:rsidRPr="00C22252">
        <w:rPr>
          <w:b/>
          <w:i/>
          <w:u w:val="single"/>
        </w:rPr>
        <w:t>Proposal 1</w:t>
      </w:r>
      <w:r w:rsidRPr="00C22252">
        <w:t xml:space="preserve">: If new measurements related to performance evaluation is specified, study the feasibility, testability and necessity of defining the relevant latency requirement. </w:t>
      </w:r>
    </w:p>
    <w:p w14:paraId="1A90DBD7" w14:textId="77777777" w:rsidR="00735AAE" w:rsidRPr="00C22252" w:rsidRDefault="00735AAE" w:rsidP="00735AAE">
      <w:pPr>
        <w:spacing w:before="240"/>
        <w:ind w:left="40"/>
        <w:rPr>
          <w:u w:val="single"/>
        </w:rPr>
      </w:pPr>
      <w:r w:rsidRPr="00C22252">
        <w:rPr>
          <w:b/>
          <w:i/>
          <w:u w:val="single"/>
        </w:rPr>
        <w:t>Observation 1</w:t>
      </w:r>
      <w:r w:rsidRPr="00C22252">
        <w:rPr>
          <w:u w:val="single"/>
        </w:rPr>
        <w:t>:</w:t>
      </w:r>
      <w:r w:rsidRPr="00C22252">
        <w:t xml:space="preserve"> Latency of decision-making at UE is not testable.</w:t>
      </w:r>
    </w:p>
    <w:p w14:paraId="573D3DC0" w14:textId="77777777" w:rsidR="00735AAE" w:rsidRPr="00C22252" w:rsidRDefault="00735AAE" w:rsidP="00735AAE">
      <w:pPr>
        <w:spacing w:before="240"/>
        <w:ind w:left="40"/>
      </w:pPr>
      <w:r w:rsidRPr="00C22252">
        <w:rPr>
          <w:b/>
          <w:i/>
          <w:u w:val="single"/>
        </w:rPr>
        <w:t>Observation 2</w:t>
      </w:r>
      <w:r w:rsidRPr="00C22252">
        <w:rPr>
          <w:u w:val="single"/>
        </w:rPr>
        <w:t xml:space="preserve">: </w:t>
      </w:r>
      <w:r w:rsidRPr="00C22252">
        <w:t>Functionality/model selection and activation share similar latency/interruption if any.</w:t>
      </w:r>
    </w:p>
    <w:p w14:paraId="166057D8" w14:textId="36C489B1" w:rsidR="00624819" w:rsidRPr="00C22252" w:rsidRDefault="00735AAE" w:rsidP="00735AAE">
      <w:pPr>
        <w:spacing w:before="240"/>
        <w:ind w:left="40"/>
      </w:pPr>
      <w:r w:rsidRPr="00C22252">
        <w:rPr>
          <w:b/>
          <w:i/>
          <w:u w:val="single"/>
        </w:rPr>
        <w:t>Observation 3</w:t>
      </w:r>
      <w:r w:rsidRPr="00C22252">
        <w:rPr>
          <w:u w:val="single"/>
        </w:rPr>
        <w:t xml:space="preserve">: </w:t>
      </w:r>
      <w:r w:rsidRPr="00C22252">
        <w:t>Functionality/model switching and fallback share similar latency/interruption if any.</w:t>
      </w:r>
    </w:p>
    <w:p w14:paraId="05EED741" w14:textId="2CE3242B" w:rsidR="00735AAE" w:rsidRPr="00C22252" w:rsidRDefault="00735AAE" w:rsidP="00735AAE">
      <w:pPr>
        <w:spacing w:before="240"/>
        <w:ind w:left="40"/>
      </w:pPr>
      <w:r w:rsidRPr="00C22252">
        <w:rPr>
          <w:b/>
          <w:i/>
          <w:u w:val="single"/>
        </w:rPr>
        <w:t>Proposal 2</w:t>
      </w:r>
      <w:r w:rsidRPr="00C22252">
        <w:rPr>
          <w:u w:val="single"/>
        </w:rPr>
        <w:t>:</w:t>
      </w:r>
      <w:r w:rsidRPr="00C22252">
        <w:t xml:space="preserve"> Latency/interruption requirement is not applicable for functionality/model deactivation. </w:t>
      </w:r>
    </w:p>
    <w:p w14:paraId="57D526C1" w14:textId="77777777" w:rsidR="00735AAE" w:rsidRPr="00C22252" w:rsidRDefault="00735AAE" w:rsidP="00735AAE">
      <w:pPr>
        <w:spacing w:before="240"/>
        <w:ind w:left="40"/>
        <w:rPr>
          <w:u w:val="single"/>
        </w:rPr>
      </w:pPr>
      <w:r w:rsidRPr="00C22252">
        <w:rPr>
          <w:b/>
          <w:i/>
          <w:u w:val="single"/>
        </w:rPr>
        <w:t>Observation 4</w:t>
      </w:r>
      <w:r w:rsidRPr="00C22252">
        <w:rPr>
          <w:u w:val="single"/>
        </w:rPr>
        <w:t xml:space="preserve">: </w:t>
      </w:r>
      <w:r w:rsidRPr="00C22252">
        <w:t>Legacy requirements for existing use in RAN4 may not be applicable when defining AI/ML performance requirements, if the effect of operations from the opposite side is not eliminated or not well controlled.</w:t>
      </w:r>
    </w:p>
    <w:p w14:paraId="5907D4B1" w14:textId="77777777" w:rsidR="00735AAE" w:rsidRPr="00C22252" w:rsidRDefault="00735AAE" w:rsidP="00735AAE">
      <w:pPr>
        <w:spacing w:before="120"/>
      </w:pPr>
      <w:r w:rsidRPr="00C22252">
        <w:rPr>
          <w:b/>
          <w:i/>
          <w:u w:val="single"/>
        </w:rPr>
        <w:t>Proposal 3</w:t>
      </w:r>
      <w:r w:rsidRPr="00C22252">
        <w:t>: Take functionality-based LCM as the starting point for RAN4 discussion.</w:t>
      </w:r>
    </w:p>
    <w:p w14:paraId="2DD32D86" w14:textId="77777777" w:rsidR="00735AAE" w:rsidRPr="00C22252" w:rsidRDefault="00735AAE" w:rsidP="00735AAE">
      <w:pPr>
        <w:spacing w:before="120"/>
      </w:pPr>
      <w:r w:rsidRPr="00C22252">
        <w:rPr>
          <w:b/>
          <w:i/>
          <w:u w:val="single"/>
        </w:rPr>
        <w:t>Observation 5</w:t>
      </w:r>
      <w:r w:rsidRPr="00C22252">
        <w:t>: Identified scenarios and/or configurations can be initially interpreted as the scenarios and/or configurations that UE reports by capability signaling.</w:t>
      </w:r>
    </w:p>
    <w:p w14:paraId="042D2B31" w14:textId="77777777" w:rsidR="00735AAE" w:rsidRPr="00C22252" w:rsidRDefault="00735AAE" w:rsidP="00735AAE">
      <w:pPr>
        <w:spacing w:before="120"/>
        <w:rPr>
          <w:u w:val="single"/>
        </w:rPr>
      </w:pPr>
      <w:r w:rsidRPr="00C22252">
        <w:rPr>
          <w:b/>
          <w:i/>
          <w:u w:val="single"/>
        </w:rPr>
        <w:t>Observation 6</w:t>
      </w:r>
      <w:r w:rsidRPr="00C22252">
        <w:t>: A large range of various UE capabilities may be involved, which is problematic for RAN4 to identify a typical configuration/scenario for specifying the test cases.</w:t>
      </w:r>
    </w:p>
    <w:p w14:paraId="53DEB2AB" w14:textId="77777777" w:rsidR="00735AAE" w:rsidRPr="00C22252" w:rsidRDefault="00735AAE" w:rsidP="00735AAE">
      <w:pPr>
        <w:spacing w:before="120"/>
        <w:rPr>
          <w:u w:val="single"/>
        </w:rPr>
      </w:pPr>
      <w:r w:rsidRPr="00C22252">
        <w:rPr>
          <w:b/>
          <w:i/>
          <w:u w:val="single"/>
        </w:rPr>
        <w:t>Proposal 4</w:t>
      </w:r>
      <w:r w:rsidRPr="00C22252">
        <w:t>: RAN4 will discuss how to specify the identified scenarios and/or configurations per use case in future release, if other WGs can specify the granularity and the capability signaling.</w:t>
      </w:r>
    </w:p>
    <w:p w14:paraId="217928FC" w14:textId="77777777" w:rsidR="00735AAE" w:rsidRPr="00C22252" w:rsidRDefault="00735AAE" w:rsidP="00735AAE">
      <w:pPr>
        <w:spacing w:before="120" w:after="0"/>
      </w:pPr>
      <w:r w:rsidRPr="00C22252">
        <w:rPr>
          <w:b/>
          <w:i/>
          <w:u w:val="single"/>
        </w:rPr>
        <w:t>Proposal 5</w:t>
      </w:r>
      <w:r w:rsidRPr="00C22252">
        <w:t xml:space="preserve">: According to TR 38.843, the identified scenarios and/or configurations can initially be interpreted as the scenarios and/or configurations that UE report by capability signaling. </w:t>
      </w:r>
    </w:p>
    <w:p w14:paraId="2A5E1CFE" w14:textId="77777777" w:rsidR="00735AAE" w:rsidRPr="00C22252" w:rsidRDefault="00735AAE" w:rsidP="00735AAE">
      <w:pPr>
        <w:spacing w:before="120"/>
        <w:rPr>
          <w:u w:val="single"/>
        </w:rPr>
      </w:pPr>
      <w:r w:rsidRPr="00C22252">
        <w:rPr>
          <w:b/>
          <w:i/>
          <w:u w:val="single"/>
        </w:rPr>
        <w:t>Observation 7</w:t>
      </w:r>
      <w:r w:rsidRPr="00C22252">
        <w:rPr>
          <w:u w:val="single"/>
        </w:rPr>
        <w:t>:</w:t>
      </w:r>
      <w:r w:rsidRPr="00C22252">
        <w:t xml:space="preserve"> If legacy test metrics are not valid/testable when defining AI/ML-specific requirements, legacy performance requirements for non-AI cannot be reused.</w:t>
      </w:r>
    </w:p>
    <w:p w14:paraId="778B0241" w14:textId="77777777" w:rsidR="00735AAE" w:rsidRPr="00C22252" w:rsidRDefault="00735AAE" w:rsidP="00735AAE">
      <w:pPr>
        <w:spacing w:before="120"/>
      </w:pPr>
      <w:r w:rsidRPr="00C22252">
        <w:rPr>
          <w:b/>
          <w:i/>
          <w:u w:val="single"/>
        </w:rPr>
        <w:t>Proposal 6</w:t>
      </w:r>
      <w:r w:rsidRPr="00C22252">
        <w:rPr>
          <w:u w:val="single"/>
        </w:rPr>
        <w:t>:</w:t>
      </w:r>
      <w:r w:rsidRPr="00C22252">
        <w:t xml:space="preserve"> RAN4</w:t>
      </w:r>
      <w:r w:rsidRPr="00C22252">
        <w:tab/>
        <w:t xml:space="preserve"> will study the minimum level performance, per use case, for identified scenarios and/or configurations (if specified). </w:t>
      </w:r>
    </w:p>
    <w:p w14:paraId="4AAE807B" w14:textId="77777777" w:rsidR="00735AAE" w:rsidRPr="00C22252" w:rsidRDefault="00735AAE" w:rsidP="00735AAE">
      <w:pPr>
        <w:spacing w:before="120"/>
      </w:pPr>
      <w:r w:rsidRPr="00C22252">
        <w:rPr>
          <w:b/>
          <w:i/>
          <w:u w:val="single"/>
        </w:rPr>
        <w:t>Proposal 7</w:t>
      </w:r>
      <w:r w:rsidRPr="00C22252">
        <w:t>: Other scenarios and/or configurations are interpreted as the scenarios and/or configurations that are not reported by UE capability for an AI/ML-specific (enhanced) feature.</w:t>
      </w:r>
    </w:p>
    <w:p w14:paraId="2383C7DA" w14:textId="77777777" w:rsidR="00735AAE" w:rsidRPr="00C22252" w:rsidRDefault="00735AAE" w:rsidP="00735AAE">
      <w:pPr>
        <w:overflowPunct w:val="0"/>
        <w:autoSpaceDE/>
        <w:autoSpaceDN/>
        <w:adjustRightInd/>
        <w:snapToGrid/>
        <w:spacing w:after="180"/>
        <w:jc w:val="left"/>
        <w:textAlignment w:val="baseline"/>
        <w:rPr>
          <w:u w:val="single"/>
        </w:rPr>
      </w:pPr>
      <w:r w:rsidRPr="00C22252">
        <w:rPr>
          <w:b/>
          <w:i/>
          <w:u w:val="single"/>
        </w:rPr>
        <w:t>Observation 8</w:t>
      </w:r>
      <w:r w:rsidRPr="00C22252">
        <w:rPr>
          <w:u w:val="single"/>
        </w:rPr>
        <w:t>:</w:t>
      </w:r>
      <w:r w:rsidRPr="00C22252">
        <w:t xml:space="preserve"> There is no need to introduce AI/ML-related requirements in the other scenarios and/or configurations.</w:t>
      </w:r>
    </w:p>
    <w:p w14:paraId="1196BAFC" w14:textId="77777777" w:rsidR="00735AAE" w:rsidRPr="00C22252" w:rsidRDefault="00735AAE" w:rsidP="00735AAE">
      <w:pPr>
        <w:overflowPunct w:val="0"/>
        <w:autoSpaceDE/>
        <w:autoSpaceDN/>
        <w:adjustRightInd/>
        <w:snapToGrid/>
        <w:spacing w:after="180"/>
        <w:jc w:val="left"/>
        <w:textAlignment w:val="baseline"/>
        <w:rPr>
          <w:u w:val="single"/>
        </w:rPr>
      </w:pPr>
      <w:r w:rsidRPr="00C22252">
        <w:rPr>
          <w:b/>
          <w:i/>
          <w:u w:val="single"/>
        </w:rPr>
        <w:t>Proposal 8</w:t>
      </w:r>
      <w:r w:rsidRPr="00C22252">
        <w:rPr>
          <w:u w:val="single"/>
        </w:rPr>
        <w:t>:</w:t>
      </w:r>
      <w:r w:rsidRPr="00C22252">
        <w:t xml:space="preserve"> Performance for other scenarios and/or configurations can be ensured by RAN4 legacy test.</w:t>
      </w:r>
      <w:r w:rsidRPr="00C22252">
        <w:rPr>
          <w:u w:val="single"/>
        </w:rPr>
        <w:t xml:space="preserve"> </w:t>
      </w:r>
    </w:p>
    <w:p w14:paraId="1B38A70F" w14:textId="77777777" w:rsidR="00C22252" w:rsidRPr="00C22252" w:rsidRDefault="00C22252" w:rsidP="00C22252">
      <w:pPr>
        <w:overflowPunct w:val="0"/>
        <w:autoSpaceDE/>
        <w:autoSpaceDN/>
        <w:adjustRightInd/>
        <w:snapToGrid/>
        <w:spacing w:after="180"/>
        <w:jc w:val="left"/>
        <w:textAlignment w:val="baseline"/>
      </w:pPr>
      <w:r w:rsidRPr="00C22252">
        <w:rPr>
          <w:b/>
          <w:i/>
          <w:u w:val="single"/>
        </w:rPr>
        <w:t>Observation 9</w:t>
      </w:r>
      <w:r w:rsidRPr="00C22252">
        <w:rPr>
          <w:u w:val="single"/>
        </w:rPr>
        <w:t>:</w:t>
      </w:r>
      <w:r w:rsidRPr="00C22252">
        <w:t xml:space="preserve"> There is no benefit identified by introducing channel condition changes during test.</w:t>
      </w:r>
    </w:p>
    <w:p w14:paraId="676DB1EE" w14:textId="77777777" w:rsidR="00C22252" w:rsidRPr="00C22252" w:rsidRDefault="00C22252" w:rsidP="00C22252">
      <w:pPr>
        <w:overflowPunct w:val="0"/>
        <w:autoSpaceDE/>
        <w:autoSpaceDN/>
        <w:adjustRightInd/>
        <w:snapToGrid/>
        <w:spacing w:after="180"/>
        <w:jc w:val="left"/>
        <w:textAlignment w:val="baseline"/>
      </w:pPr>
      <w:bookmarkStart w:id="5" w:name="_GoBack"/>
      <w:r w:rsidRPr="00C22252">
        <w:rPr>
          <w:b/>
          <w:i/>
          <w:u w:val="single"/>
        </w:rPr>
        <w:t>Proposal 9</w:t>
      </w:r>
      <w:bookmarkEnd w:id="5"/>
      <w:r w:rsidRPr="00C22252">
        <w:rPr>
          <w:u w:val="single"/>
        </w:rPr>
        <w:t>:</w:t>
      </w:r>
      <w:r w:rsidRPr="00C22252">
        <w:t xml:space="preserve"> Non-static scenarios/conditions and propagation conditions are precluded for defining RAN4 test. </w:t>
      </w:r>
    </w:p>
    <w:p w14:paraId="4AD735CD" w14:textId="77777777" w:rsidR="000C3F23" w:rsidRPr="00C73DC3" w:rsidRDefault="000C3F23" w:rsidP="00867443">
      <w:pPr>
        <w:pStyle w:val="Heading1"/>
        <w:ind w:left="6"/>
      </w:pPr>
      <w:r w:rsidRPr="00EE2AB0">
        <w:rPr>
          <w:color w:val="000000"/>
        </w:rPr>
        <w:t>References</w:t>
      </w:r>
    </w:p>
    <w:p w14:paraId="58B7A01B" w14:textId="77777777" w:rsidR="002D46CB" w:rsidRDefault="002D46CB" w:rsidP="002D46CB">
      <w:pPr>
        <w:pStyle w:val="ListParagraph"/>
        <w:numPr>
          <w:ilvl w:val="0"/>
          <w:numId w:val="9"/>
        </w:numPr>
        <w:jc w:val="both"/>
        <w:rPr>
          <w:rFonts w:ascii="Times New Roman" w:eastAsia="宋体" w:hAnsi="Times New Roman" w:cs="Times New Roman"/>
          <w:lang w:val="en-GB"/>
        </w:rPr>
      </w:pPr>
      <w:bookmarkStart w:id="6"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P</w:t>
      </w:r>
      <w:r w:rsidRPr="00867443">
        <w:rPr>
          <w:rFonts w:ascii="Times New Roman" w:eastAsia="宋体" w:hAnsi="Times New Roman" w:cs="Times New Roman"/>
          <w:lang w:val="en-GB"/>
        </w:rPr>
        <w:t>-23</w:t>
      </w:r>
      <w:r>
        <w:rPr>
          <w:rFonts w:ascii="Times New Roman" w:eastAsia="宋体" w:hAnsi="Times New Roman" w:cs="Times New Roman"/>
          <w:lang w:val="en-GB"/>
        </w:rPr>
        <w:t xml:space="preserve">4039, </w:t>
      </w:r>
      <w:r w:rsidRPr="00BA08E3">
        <w:rPr>
          <w:rFonts w:eastAsia="宋体"/>
          <w:lang w:val="en-GB"/>
        </w:rPr>
        <w:t>“</w:t>
      </w:r>
      <w:r w:rsidRPr="00C53713">
        <w:rPr>
          <w:rFonts w:ascii="Times New Roman" w:eastAsia="宋体" w:hAnsi="Times New Roman" w:cs="Times New Roman"/>
          <w:lang w:val="en-GB"/>
        </w:rPr>
        <w:t>New WID on Artificial Intelligence (AI)/Machine Learning (ML) for NR Air Interface</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P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102,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p w14:paraId="0C7C409A" w14:textId="0E1CE4FE" w:rsidR="000D60E7" w:rsidRDefault="002D46CB" w:rsidP="002D46CB">
      <w:pPr>
        <w:pStyle w:val="ListParagraph"/>
        <w:numPr>
          <w:ilvl w:val="0"/>
          <w:numId w:val="9"/>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bookmarkEnd w:id="6"/>
    </w:p>
    <w:p w14:paraId="05898CAA" w14:textId="23603C95" w:rsidR="004F74A7" w:rsidRPr="002D46CB" w:rsidRDefault="00D42CC5" w:rsidP="00077155">
      <w:pPr>
        <w:pStyle w:val="ListParagraph"/>
        <w:numPr>
          <w:ilvl w:val="0"/>
          <w:numId w:val="9"/>
        </w:numPr>
        <w:rPr>
          <w:rFonts w:ascii="Times New Roman" w:eastAsia="宋体" w:hAnsi="Times New Roman" w:cs="Times New Roman"/>
          <w:lang w:val="en-GB"/>
        </w:rPr>
      </w:pPr>
      <w:r w:rsidRPr="00D42CC5">
        <w:rPr>
          <w:rFonts w:ascii="Times New Roman" w:eastAsia="宋体" w:hAnsi="Times New Roman" w:cs="Times New Roman"/>
          <w:lang w:val="en-GB"/>
        </w:rPr>
        <w:t>R4-2401687</w:t>
      </w:r>
      <w:r w:rsidRPr="00D42CC5">
        <w:rPr>
          <w:rFonts w:ascii="Times New Roman" w:eastAsia="宋体" w:hAnsi="Times New Roman" w:cs="Times New Roman"/>
          <w:lang w:val="en-GB"/>
        </w:rPr>
        <w:t>, “</w:t>
      </w:r>
      <w:r w:rsidRPr="00D42CC5">
        <w:rPr>
          <w:rFonts w:ascii="Times New Roman" w:eastAsia="宋体" w:hAnsi="Times New Roman" w:cs="Times New Roman"/>
          <w:lang w:val="en-GB"/>
        </w:rPr>
        <w:t>Testability and interoperability issues for CSI compression and CSI prediction</w:t>
      </w:r>
      <w:r w:rsidRPr="00D42CC5">
        <w:rPr>
          <w:rFonts w:ascii="Times New Roman" w:eastAsia="宋体" w:hAnsi="Times New Roman" w:cs="Times New Roman"/>
          <w:lang w:val="en-GB"/>
        </w:rPr>
        <w:t>”,</w:t>
      </w:r>
      <w:r w:rsidRPr="00D42CC5">
        <w:rPr>
          <w:rFonts w:ascii="Times New Roman" w:eastAsia="宋体" w:hAnsi="Times New Roman" w:cs="Times New Roman"/>
          <w:lang w:val="en-GB"/>
        </w:rPr>
        <w:t xml:space="preserve"> </w:t>
      </w:r>
      <w:r>
        <w:rPr>
          <w:rFonts w:ascii="Times New Roman" w:eastAsia="宋体" w:hAnsi="Times New Roman" w:cs="Times New Roman"/>
          <w:lang w:val="en-GB"/>
        </w:rPr>
        <w:t xml:space="preserve">Huawei, Hisilicon, </w:t>
      </w:r>
      <w:r w:rsidRPr="006A6CF3">
        <w:rPr>
          <w:rFonts w:ascii="Times New Roman" w:eastAsia="宋体" w:hAnsi="Times New Roman" w:cs="Times New Roman"/>
          <w:lang w:val="en-GB"/>
        </w:rPr>
        <w:t>3GPP RAN</w:t>
      </w:r>
      <w:r>
        <w:rPr>
          <w:rFonts w:ascii="Times New Roman" w:eastAsia="宋体" w:hAnsi="Times New Roman" w:cs="Times New Roman"/>
          <w:lang w:val="en-GB"/>
        </w:rPr>
        <w:t>4</w:t>
      </w:r>
      <w:r>
        <w:rPr>
          <w:rFonts w:ascii="Times New Roman" w:eastAsia="宋体" w:hAnsi="Times New Roman" w:cs="Times New Roman"/>
          <w:lang w:val="en-GB"/>
        </w:rPr>
        <w:t xml:space="preserve"> </w:t>
      </w:r>
      <w:r w:rsidRPr="00BB1276">
        <w:rPr>
          <w:rFonts w:ascii="Times New Roman" w:eastAsia="宋体" w:hAnsi="Times New Roman" w:cs="Times New Roman"/>
          <w:lang w:val="en-GB"/>
        </w:rPr>
        <w:t>#</w:t>
      </w:r>
      <w:r>
        <w:rPr>
          <w:rFonts w:ascii="Times New Roman" w:eastAsia="宋体" w:hAnsi="Times New Roman" w:cs="Times New Roman"/>
          <w:lang w:val="en-GB"/>
        </w:rPr>
        <w:t>1</w:t>
      </w:r>
      <w:r>
        <w:rPr>
          <w:rFonts w:ascii="Times New Roman" w:eastAsia="宋体" w:hAnsi="Times New Roman" w:cs="Times New Roman"/>
          <w:lang w:val="en-GB"/>
        </w:rPr>
        <w:t>1</w:t>
      </w:r>
      <w:r>
        <w:rPr>
          <w:rFonts w:ascii="Times New Roman" w:eastAsia="宋体" w:hAnsi="Times New Roman" w:cs="Times New Roman"/>
          <w:lang w:val="en-GB"/>
        </w:rPr>
        <w:t xml:space="preserve">0, </w:t>
      </w:r>
      <w:r w:rsidR="00B9113F" w:rsidRPr="00B9113F">
        <w:rPr>
          <w:rFonts w:ascii="Times New Roman" w:eastAsia="宋体" w:hAnsi="Times New Roman" w:cs="Times New Roman"/>
          <w:lang w:val="en-GB"/>
        </w:rPr>
        <w:t>February 26 – March 01, 2024</w:t>
      </w:r>
      <w:r w:rsidR="00B9113F">
        <w:rPr>
          <w:rFonts w:ascii="Times New Roman" w:eastAsia="宋体" w:hAnsi="Times New Roman" w:cs="Times New Roman"/>
          <w:lang w:val="en-GB"/>
        </w:rPr>
        <w:t>.</w:t>
      </w:r>
    </w:p>
    <w:sectPr w:rsidR="004F74A7" w:rsidRPr="002D46CB"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B6874" w14:textId="77777777" w:rsidR="00CE2A5D" w:rsidRDefault="00CE2A5D">
      <w:r>
        <w:separator/>
      </w:r>
    </w:p>
  </w:endnote>
  <w:endnote w:type="continuationSeparator" w:id="0">
    <w:p w14:paraId="31246EED" w14:textId="77777777" w:rsidR="00CE2A5D" w:rsidRDefault="00CE2A5D">
      <w:r>
        <w:continuationSeparator/>
      </w:r>
    </w:p>
  </w:endnote>
  <w:endnote w:type="continuationNotice" w:id="1">
    <w:p w14:paraId="348C64F1" w14:textId="77777777" w:rsidR="00CE2A5D" w:rsidRDefault="00CE2A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E6141" w14:textId="77777777" w:rsidR="00CE2A5D" w:rsidRDefault="00CE2A5D">
      <w:r>
        <w:separator/>
      </w:r>
    </w:p>
  </w:footnote>
  <w:footnote w:type="continuationSeparator" w:id="0">
    <w:p w14:paraId="1A0488AF" w14:textId="77777777" w:rsidR="00CE2A5D" w:rsidRDefault="00CE2A5D">
      <w:r>
        <w:continuationSeparator/>
      </w:r>
    </w:p>
  </w:footnote>
  <w:footnote w:type="continuationNotice" w:id="1">
    <w:p w14:paraId="7FC1A996" w14:textId="77777777" w:rsidR="00CE2A5D" w:rsidRDefault="00CE2A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F1362"/>
    <w:multiLevelType w:val="hybridMultilevel"/>
    <w:tmpl w:val="723CD13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720" w:hanging="360"/>
      </w:pPr>
      <w:rPr>
        <w:rFonts w:ascii="Times New Roman" w:eastAsia="Yu Mincho" w:hAnsi="Times New Roman" w:cs="Times New Roman" w:hint="default"/>
      </w:rPr>
    </w:lvl>
    <w:lvl w:ilvl="1" w:tplc="C08674C6">
      <w:start w:val="1"/>
      <w:numFmt w:val="bullet"/>
      <w:lvlText w:val=""/>
      <w:lvlJc w:val="left"/>
      <w:pPr>
        <w:ind w:left="1200" w:hanging="420"/>
      </w:pPr>
      <w:rPr>
        <w:rFonts w:ascii="Wingdings" w:hAnsi="Wingdings" w:hint="default"/>
        <w:strike w:val="0"/>
        <w:dstrike w:val="0"/>
        <w:u w:val="none"/>
        <w:effect w:val="none"/>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 w15:restartNumberingAfterBreak="0">
    <w:nsid w:val="0A0C2922"/>
    <w:multiLevelType w:val="hybridMultilevel"/>
    <w:tmpl w:val="4D3C6986"/>
    <w:lvl w:ilvl="0" w:tplc="04090001">
      <w:start w:val="1"/>
      <w:numFmt w:val="bullet"/>
      <w:lvlText w:val=""/>
      <w:lvlJc w:val="left"/>
      <w:pPr>
        <w:ind w:left="400" w:hanging="360"/>
      </w:pPr>
      <w:rPr>
        <w:rFonts w:ascii="Symbol" w:hAnsi="Symbo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 w15:restartNumberingAfterBreak="0">
    <w:nsid w:val="0AB14A8C"/>
    <w:multiLevelType w:val="hybridMultilevel"/>
    <w:tmpl w:val="526091F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92194F"/>
    <w:multiLevelType w:val="hybridMultilevel"/>
    <w:tmpl w:val="15CC92CA"/>
    <w:lvl w:ilvl="0" w:tplc="DF044B6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62AB0"/>
    <w:multiLevelType w:val="hybridMultilevel"/>
    <w:tmpl w:val="AF60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CC0F3E"/>
    <w:multiLevelType w:val="hybridMultilevel"/>
    <w:tmpl w:val="F9222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81927E1"/>
    <w:multiLevelType w:val="hybridMultilevel"/>
    <w:tmpl w:val="522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D75A6"/>
    <w:multiLevelType w:val="hybridMultilevel"/>
    <w:tmpl w:val="82F0C658"/>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8B7D28"/>
    <w:multiLevelType w:val="hybridMultilevel"/>
    <w:tmpl w:val="765E6C26"/>
    <w:lvl w:ilvl="0" w:tplc="029C9C72">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697E13"/>
    <w:multiLevelType w:val="hybridMultilevel"/>
    <w:tmpl w:val="E7D4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87A6C"/>
    <w:multiLevelType w:val="multilevel"/>
    <w:tmpl w:val="CC404CA2"/>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7FD5E78"/>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2540E8A"/>
    <w:multiLevelType w:val="hybridMultilevel"/>
    <w:tmpl w:val="E3E0B20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3AEE0BC0"/>
    <w:multiLevelType w:val="multilevel"/>
    <w:tmpl w:val="E816310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82008A"/>
    <w:multiLevelType w:val="multilevel"/>
    <w:tmpl w:val="D30C2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11B5F8C"/>
    <w:multiLevelType w:val="hybridMultilevel"/>
    <w:tmpl w:val="0FF21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6F0D94"/>
    <w:multiLevelType w:val="multilevel"/>
    <w:tmpl w:val="2D047E8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2D7689"/>
    <w:multiLevelType w:val="hybridMultilevel"/>
    <w:tmpl w:val="AE26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82376A"/>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80C0511"/>
    <w:multiLevelType w:val="hybridMultilevel"/>
    <w:tmpl w:val="3C7E2B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6569DA"/>
    <w:multiLevelType w:val="multilevel"/>
    <w:tmpl w:val="61A6B96C"/>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233D88"/>
    <w:multiLevelType w:val="hybridMultilevel"/>
    <w:tmpl w:val="BABAE47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7C5F34"/>
    <w:multiLevelType w:val="hybridMultilevel"/>
    <w:tmpl w:val="4DDED31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5E326CA2"/>
    <w:multiLevelType w:val="hybridMultilevel"/>
    <w:tmpl w:val="43EC2D70"/>
    <w:lvl w:ilvl="0" w:tplc="04090003">
      <w:start w:val="1"/>
      <w:numFmt w:val="bullet"/>
      <w:lvlText w:val=""/>
      <w:lvlJc w:val="left"/>
      <w:pPr>
        <w:ind w:left="400" w:hanging="360"/>
      </w:pPr>
      <w:rPr>
        <w:rFonts w:ascii="Wingdings" w:hAnsi="Wingdings"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6A4533"/>
    <w:multiLevelType w:val="hybridMultilevel"/>
    <w:tmpl w:val="DCE011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9"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44F47A3"/>
    <w:multiLevelType w:val="hybridMultilevel"/>
    <w:tmpl w:val="3E64E47C"/>
    <w:lvl w:ilvl="0" w:tplc="DF044B64">
      <w:start w:val="1"/>
      <w:numFmt w:val="bullet"/>
      <w:lvlText w:val="•"/>
      <w:lvlJc w:val="left"/>
      <w:pPr>
        <w:ind w:left="785" w:hanging="360"/>
      </w:pPr>
      <w:rPr>
        <w:rFonts w:ascii="Times New Roman" w:hAnsi="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53547C7"/>
    <w:multiLevelType w:val="multilevel"/>
    <w:tmpl w:val="D1C2B2B0"/>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42"/>
  </w:num>
  <w:num w:numId="3">
    <w:abstractNumId w:val="8"/>
  </w:num>
  <w:num w:numId="4">
    <w:abstractNumId w:val="26"/>
  </w:num>
  <w:num w:numId="5">
    <w:abstractNumId w:val="27"/>
  </w:num>
  <w:num w:numId="6">
    <w:abstractNumId w:val="19"/>
  </w:num>
  <w:num w:numId="7">
    <w:abstractNumId w:val="7"/>
  </w:num>
  <w:num w:numId="8">
    <w:abstractNumId w:val="40"/>
  </w:num>
  <w:num w:numId="9">
    <w:abstractNumId w:val="13"/>
  </w:num>
  <w:num w:numId="10">
    <w:abstractNumId w:val="11"/>
  </w:num>
  <w:num w:numId="11">
    <w:abstractNumId w:val="44"/>
  </w:num>
  <w:num w:numId="12">
    <w:abstractNumId w:val="22"/>
  </w:num>
  <w:num w:numId="13">
    <w:abstractNumId w:val="30"/>
  </w:num>
  <w:num w:numId="14">
    <w:abstractNumId w:val="1"/>
  </w:num>
  <w:num w:numId="15">
    <w:abstractNumId w:val="39"/>
  </w:num>
  <w:num w:numId="16">
    <w:abstractNumId w:val="20"/>
  </w:num>
  <w:num w:numId="17">
    <w:abstractNumId w:val="29"/>
  </w:num>
  <w:num w:numId="18">
    <w:abstractNumId w:val="24"/>
  </w:num>
  <w:num w:numId="19">
    <w:abstractNumId w:val="4"/>
  </w:num>
  <w:num w:numId="20">
    <w:abstractNumId w:val="3"/>
  </w:num>
  <w:num w:numId="21">
    <w:abstractNumId w:val="25"/>
  </w:num>
  <w:num w:numId="22">
    <w:abstractNumId w:val="16"/>
  </w:num>
  <w:num w:numId="23">
    <w:abstractNumId w:val="23"/>
  </w:num>
  <w:num w:numId="24">
    <w:abstractNumId w:val="41"/>
  </w:num>
  <w:num w:numId="25">
    <w:abstractNumId w:val="18"/>
  </w:num>
  <w:num w:numId="26">
    <w:abstractNumId w:val="2"/>
  </w:num>
  <w:num w:numId="27">
    <w:abstractNumId w:val="28"/>
  </w:num>
  <w:num w:numId="28">
    <w:abstractNumId w:val="0"/>
  </w:num>
  <w:num w:numId="29">
    <w:abstractNumId w:val="9"/>
  </w:num>
  <w:num w:numId="30">
    <w:abstractNumId w:val="21"/>
  </w:num>
  <w:num w:numId="31">
    <w:abstractNumId w:val="32"/>
  </w:num>
  <w:num w:numId="32">
    <w:abstractNumId w:val="15"/>
  </w:num>
  <w:num w:numId="33">
    <w:abstractNumId w:val="43"/>
  </w:num>
  <w:num w:numId="34">
    <w:abstractNumId w:val="12"/>
  </w:num>
  <w:num w:numId="35">
    <w:abstractNumId w:val="17"/>
  </w:num>
  <w:num w:numId="36">
    <w:abstractNumId w:val="34"/>
  </w:num>
  <w:num w:numId="37">
    <w:abstractNumId w:val="35"/>
  </w:num>
  <w:num w:numId="38">
    <w:abstractNumId w:val="5"/>
  </w:num>
  <w:num w:numId="39">
    <w:abstractNumId w:val="6"/>
  </w:num>
  <w:num w:numId="40">
    <w:abstractNumId w:val="14"/>
  </w:num>
  <w:num w:numId="41">
    <w:abstractNumId w:val="38"/>
  </w:num>
  <w:num w:numId="42">
    <w:abstractNumId w:val="37"/>
  </w:num>
  <w:num w:numId="43">
    <w:abstractNumId w:val="10"/>
  </w:num>
  <w:num w:numId="44">
    <w:abstractNumId w:val="36"/>
  </w:num>
  <w:num w:numId="45">
    <w:abstractNumId w:val="33"/>
  </w:num>
  <w:num w:numId="46">
    <w:abstractNumId w:val="31"/>
  </w:num>
  <w:num w:numId="47">
    <w:abstractNumId w:val="4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2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2252"/>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ECCDEE-E322-41D4-BC9C-8CF81442D19F}">
  <ds:schemaRefs>
    <ds:schemaRef ds:uri="http://schemas.openxmlformats.org/officeDocument/2006/bibliography"/>
  </ds:schemaRefs>
</ds:datastoreItem>
</file>

<file path=customXml/itemProps2.xml><?xml version="1.0" encoding="utf-8"?>
<ds:datastoreItem xmlns:ds="http://schemas.openxmlformats.org/officeDocument/2006/customXml" ds:itemID="{BB84FEE4-EDCE-49D9-A819-91933D8BC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1615</TotalTime>
  <Pages>1</Pages>
  <Words>2493</Words>
  <Characters>14215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102</cp:revision>
  <cp:lastPrinted>2019-11-08T22:53:00Z</cp:lastPrinted>
  <dcterms:created xsi:type="dcterms:W3CDTF">2023-05-11T04:23:00Z</dcterms:created>
  <dcterms:modified xsi:type="dcterms:W3CDTF">2024-02-19T10:07:00Z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(3)XRG/8O7YRCa9w5BY8MQqAmePJ1aasZYxTMq4i6WMOkCRtYqHDRpB7TY9ulJOdYSNPmArqKfM
egfbc5qSyHFvV3CPsSAFI0zi4aAL1Q/QankeicRcTjbwI0xKP1WN6CySprIYgH/czc8izPGv
U/9Zr1qomKM3edN/puBQ0UsOhmCprLmEBYopdoRL4T2b0vx6ST2hKLSkHy29g/0eI0ZsOkZ9
n0aXYReEmHY0JbXB47</vt:lpwstr>
  </property>
  <property fmtid="{D5CDD505-2E9C-101B-9397-08002B2CF9AE}" pid="30" name="_2015_ms_pID_725343_00">
    <vt:lpwstr>_2015_ms_pID_725343</vt:lpwstr>
  </property>
  <property fmtid="{D5CDD505-2E9C-101B-9397-08002B2CF9AE}" pid="31" name="_2015_ms_pID_7253431">
    <vt:lpwstr>V2sGE4brbn58Eq7L7GKa02/kgXddBoP18F965lLVhagbpZE3enNTMm
YDeC6ctPltyo8drc0w9lSSSlyaXZFxNRSJFJIB1qBRzG5oIMwmvxX8HcCoYrNRrbAjKLjyVc
I2H3lO9KVWzBndJj04mhPqhUj4yQ90WHC3+yO+HMoV/7gqAA+5ZPIb9jwia6t1NYpUyvvx+q
jq4JP06tS6HFDoXf0b5gnFBmYSE3/y8cczqD</vt:lpwstr>
  </property>
  <property fmtid="{D5CDD505-2E9C-101B-9397-08002B2CF9AE}" pid="32" name="_2015_ms_pID_7253431_00">
    <vt:lpwstr>_2015_ms_pID_7253431</vt:lpwstr>
  </property>
  <property fmtid="{D5CDD505-2E9C-101B-9397-08002B2CF9AE}" pid="33" name="_2015_ms_pID_7253432">
    <vt:lpwstr>ze3WvXLtmn9tAcvOGNy2xrwyu5ofYVr2LY0s
HrHkQFdc7BBJ4Z4rqU3WDZ3BUAJmmdVFCPC7mtM3TEfAHDcckPE=</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